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1417"/>
        <w:gridCol w:w="5954"/>
        <w:gridCol w:w="5245"/>
      </w:tblGrid>
      <w:tr w:rsidR="00B7452C" w:rsidRPr="00EF4667" w14:paraId="7CDECF42" w14:textId="77777777" w:rsidTr="5F630951">
        <w:trPr>
          <w:jc w:val="center"/>
        </w:trPr>
        <w:tc>
          <w:tcPr>
            <w:tcW w:w="14596" w:type="dxa"/>
            <w:gridSpan w:val="5"/>
            <w:vAlign w:val="center"/>
          </w:tcPr>
          <w:p w14:paraId="7DF4742B" w14:textId="77777777" w:rsidR="00A07B6B" w:rsidRPr="00A07B6B" w:rsidRDefault="00A941EC" w:rsidP="00A07B6B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07B6B">
              <w:rPr>
                <w:rFonts w:cstheme="minorHAnsi"/>
                <w:b/>
                <w:sz w:val="20"/>
                <w:szCs w:val="20"/>
              </w:rPr>
              <w:t>Tabela uwag</w:t>
            </w:r>
          </w:p>
          <w:p w14:paraId="7AE9CA05" w14:textId="77777777" w:rsidR="00A07B6B" w:rsidRPr="00A07B6B" w:rsidRDefault="00A941EC" w:rsidP="00A07B6B">
            <w:pPr>
              <w:jc w:val="center"/>
              <w:rPr>
                <w:rFonts w:cstheme="minorHAnsi"/>
                <w:b/>
                <w:sz w:val="20"/>
                <w:szCs w:val="20"/>
                <w:shd w:val="clear" w:color="auto" w:fill="FFFFFF" w:themeFill="background1"/>
              </w:rPr>
            </w:pPr>
            <w:r w:rsidRPr="00A07B6B">
              <w:rPr>
                <w:rFonts w:cstheme="minorHAnsi"/>
                <w:b/>
                <w:sz w:val="20"/>
                <w:szCs w:val="20"/>
              </w:rPr>
              <w:t xml:space="preserve">zgłoszonych do </w:t>
            </w:r>
            <w:r w:rsidR="00DF109E" w:rsidRPr="00A07B6B">
              <w:rPr>
                <w:rFonts w:cstheme="minorHAnsi"/>
                <w:b/>
                <w:sz w:val="20"/>
                <w:szCs w:val="20"/>
              </w:rPr>
              <w:t xml:space="preserve">projektu </w:t>
            </w:r>
            <w:r w:rsidR="00310FA2" w:rsidRPr="00A07B6B">
              <w:rPr>
                <w:rFonts w:cstheme="minorHAnsi"/>
                <w:b/>
                <w:sz w:val="20"/>
                <w:szCs w:val="20"/>
              </w:rPr>
              <w:t>ustawy o zmianie ustawy o doręczeniach elektronicznych oraz niektórych innych ustaw</w:t>
            </w:r>
          </w:p>
          <w:p w14:paraId="54BD4A78" w14:textId="40759BE0" w:rsidR="00B7452C" w:rsidRPr="00A07B6B" w:rsidRDefault="00A941EC" w:rsidP="00A07B6B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07B6B">
              <w:rPr>
                <w:rFonts w:cstheme="minorHAnsi"/>
                <w:b/>
                <w:sz w:val="20"/>
                <w:szCs w:val="20"/>
                <w:shd w:val="clear" w:color="auto" w:fill="FFFFFF" w:themeFill="background1"/>
              </w:rPr>
              <w:t xml:space="preserve">w ramach </w:t>
            </w:r>
            <w:r w:rsidR="00310FA2" w:rsidRPr="00A07B6B">
              <w:rPr>
                <w:rFonts w:cstheme="minorHAnsi"/>
                <w:b/>
                <w:sz w:val="20"/>
                <w:szCs w:val="20"/>
                <w:shd w:val="clear" w:color="auto" w:fill="FFFFFF" w:themeFill="background1"/>
              </w:rPr>
              <w:t>opiniowania</w:t>
            </w:r>
          </w:p>
        </w:tc>
      </w:tr>
      <w:tr w:rsidR="00D5337F" w:rsidRPr="00EF4667" w14:paraId="770ED333" w14:textId="77777777" w:rsidTr="00DF109E">
        <w:trPr>
          <w:jc w:val="center"/>
        </w:trPr>
        <w:tc>
          <w:tcPr>
            <w:tcW w:w="704" w:type="dxa"/>
            <w:shd w:val="clear" w:color="auto" w:fill="E7E6E6" w:themeFill="background2"/>
            <w:vAlign w:val="center"/>
          </w:tcPr>
          <w:p w14:paraId="0AC205E0" w14:textId="77777777" w:rsidR="00D5337F" w:rsidRPr="00A07B6B" w:rsidRDefault="00D5337F" w:rsidP="00397129">
            <w:pPr>
              <w:rPr>
                <w:rFonts w:cstheme="minorHAnsi"/>
                <w:b/>
                <w:sz w:val="20"/>
                <w:szCs w:val="20"/>
              </w:rPr>
            </w:pPr>
            <w:r w:rsidRPr="00A07B6B"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1276" w:type="dxa"/>
            <w:shd w:val="clear" w:color="auto" w:fill="E7E6E6" w:themeFill="background2"/>
            <w:vAlign w:val="center"/>
          </w:tcPr>
          <w:p w14:paraId="50680F42" w14:textId="77777777" w:rsidR="00D5337F" w:rsidRPr="00A07B6B" w:rsidRDefault="00D5337F" w:rsidP="00397129">
            <w:pPr>
              <w:rPr>
                <w:rFonts w:cstheme="minorHAnsi"/>
                <w:b/>
                <w:sz w:val="20"/>
                <w:szCs w:val="20"/>
              </w:rPr>
            </w:pPr>
            <w:r w:rsidRPr="00A07B6B">
              <w:rPr>
                <w:rFonts w:cstheme="minorHAnsi"/>
                <w:b/>
                <w:sz w:val="20"/>
                <w:szCs w:val="20"/>
              </w:rPr>
              <w:t>Podmiot wnoszący uwagi</w:t>
            </w: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14:paraId="431E293F" w14:textId="77777777" w:rsidR="00D5337F" w:rsidRPr="00A07B6B" w:rsidRDefault="00D5337F" w:rsidP="00397129">
            <w:pPr>
              <w:rPr>
                <w:rFonts w:cstheme="minorHAnsi"/>
                <w:b/>
                <w:sz w:val="20"/>
                <w:szCs w:val="20"/>
              </w:rPr>
            </w:pPr>
            <w:r w:rsidRPr="00A07B6B">
              <w:rPr>
                <w:rFonts w:cstheme="minorHAnsi"/>
                <w:b/>
                <w:sz w:val="20"/>
                <w:szCs w:val="20"/>
              </w:rPr>
              <w:t>Jednostka redakcyjna, do której wnoszone są uwagi</w:t>
            </w:r>
          </w:p>
        </w:tc>
        <w:tc>
          <w:tcPr>
            <w:tcW w:w="5954" w:type="dxa"/>
            <w:shd w:val="clear" w:color="auto" w:fill="E7E6E6" w:themeFill="background2"/>
            <w:vAlign w:val="center"/>
          </w:tcPr>
          <w:p w14:paraId="772140A8" w14:textId="77777777" w:rsidR="00D5337F" w:rsidRPr="00A07B6B" w:rsidRDefault="00D5337F" w:rsidP="00A07B6B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07B6B">
              <w:rPr>
                <w:rFonts w:cstheme="minorHAnsi"/>
                <w:b/>
                <w:sz w:val="20"/>
                <w:szCs w:val="20"/>
              </w:rPr>
              <w:t>Zgłoszone uwagi</w:t>
            </w:r>
          </w:p>
        </w:tc>
        <w:tc>
          <w:tcPr>
            <w:tcW w:w="5245" w:type="dxa"/>
            <w:shd w:val="clear" w:color="auto" w:fill="E7E6E6" w:themeFill="background2"/>
            <w:vAlign w:val="center"/>
          </w:tcPr>
          <w:p w14:paraId="51BA6704" w14:textId="77777777" w:rsidR="00D5337F" w:rsidRPr="00A07B6B" w:rsidRDefault="00C21C84" w:rsidP="00A07B6B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07B6B">
              <w:rPr>
                <w:rFonts w:cstheme="minorHAnsi"/>
                <w:b/>
                <w:sz w:val="20"/>
                <w:szCs w:val="20"/>
              </w:rPr>
              <w:t>Stanowisko</w:t>
            </w:r>
          </w:p>
        </w:tc>
      </w:tr>
      <w:tr w:rsidR="002467A1" w:rsidRPr="00EF4667" w14:paraId="71CC74A6" w14:textId="77777777" w:rsidTr="00DF109E">
        <w:trPr>
          <w:jc w:val="center"/>
        </w:trPr>
        <w:tc>
          <w:tcPr>
            <w:tcW w:w="704" w:type="dxa"/>
          </w:tcPr>
          <w:p w14:paraId="7A1F083A" w14:textId="77777777" w:rsidR="002467A1" w:rsidRPr="00EF4667" w:rsidRDefault="002467A1" w:rsidP="2A277BE4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38B8EA3" w14:textId="01D0F4D5" w:rsidR="002467A1" w:rsidRDefault="002467A1" w:rsidP="2A277B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UOKiK</w:t>
            </w:r>
          </w:p>
        </w:tc>
        <w:tc>
          <w:tcPr>
            <w:tcW w:w="1417" w:type="dxa"/>
          </w:tcPr>
          <w:p w14:paraId="6BEBB68A" w14:textId="6A93494C" w:rsidR="002467A1" w:rsidRDefault="002467A1" w:rsidP="2A277BE4">
            <w:pPr>
              <w:rPr>
                <w:spacing w:val="6"/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Art. 1 pkt 4</w:t>
            </w:r>
          </w:p>
        </w:tc>
        <w:tc>
          <w:tcPr>
            <w:tcW w:w="5954" w:type="dxa"/>
          </w:tcPr>
          <w:p w14:paraId="4CC6B63B" w14:textId="4D99B9F0" w:rsidR="002467A1" w:rsidRPr="006466AE" w:rsidRDefault="002467A1" w:rsidP="002467A1">
            <w:pPr>
              <w:rPr>
                <w:spacing w:val="6"/>
                <w:sz w:val="20"/>
                <w:szCs w:val="20"/>
              </w:rPr>
            </w:pPr>
            <w:r w:rsidRPr="002467A1">
              <w:rPr>
                <w:spacing w:val="6"/>
                <w:sz w:val="20"/>
                <w:szCs w:val="20"/>
              </w:rPr>
              <w:t>Uprzejmie informuję, że podtrzymuję swoje stanowisko wyrażone w procesie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2467A1">
              <w:rPr>
                <w:spacing w:val="6"/>
                <w:sz w:val="20"/>
                <w:szCs w:val="20"/>
              </w:rPr>
              <w:t>opiniowania przedmiotowego projektu, dotyczące wprowadzenia wyłączenia w zakresie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2467A1">
              <w:rPr>
                <w:spacing w:val="6"/>
                <w:sz w:val="20"/>
                <w:szCs w:val="20"/>
              </w:rPr>
              <w:t>stosowania systemu e-Doręczeń w UOKiK, postulując - w nawiązaniu do stanowiska</w:t>
            </w:r>
            <w:r w:rsidR="00B20579">
              <w:rPr>
                <w:spacing w:val="6"/>
                <w:sz w:val="20"/>
                <w:szCs w:val="20"/>
              </w:rPr>
              <w:t xml:space="preserve"> </w:t>
            </w:r>
            <w:r w:rsidRPr="002467A1">
              <w:rPr>
                <w:spacing w:val="6"/>
                <w:sz w:val="20"/>
                <w:szCs w:val="20"/>
              </w:rPr>
              <w:t>i wyjaśnień Ministerstwa Cyfryzacji (tabela uwag, pkt 62) - aby przesłanka „niezbędne dla</w:t>
            </w:r>
            <w:r w:rsidR="00B20579">
              <w:rPr>
                <w:spacing w:val="6"/>
                <w:sz w:val="20"/>
                <w:szCs w:val="20"/>
              </w:rPr>
              <w:t xml:space="preserve"> </w:t>
            </w:r>
            <w:r w:rsidRPr="002467A1">
              <w:rPr>
                <w:spacing w:val="6"/>
                <w:sz w:val="20"/>
                <w:szCs w:val="20"/>
              </w:rPr>
              <w:t>realizacji zadań organu w celu zapewnienia efektywności lub szybkości postępowania”</w:t>
            </w:r>
            <w:r w:rsidR="00B20579">
              <w:rPr>
                <w:spacing w:val="6"/>
                <w:sz w:val="20"/>
                <w:szCs w:val="20"/>
              </w:rPr>
              <w:t xml:space="preserve"> </w:t>
            </w:r>
            <w:r w:rsidRPr="002467A1">
              <w:rPr>
                <w:spacing w:val="6"/>
                <w:sz w:val="20"/>
                <w:szCs w:val="20"/>
              </w:rPr>
              <w:t>została dodana jako art. 6 ust. 1 pkt 2 lit. f ustawy z dnia 18 listopada 2020 r. o doręczeniach</w:t>
            </w:r>
            <w:r w:rsidR="00B20579">
              <w:rPr>
                <w:spacing w:val="6"/>
                <w:sz w:val="20"/>
                <w:szCs w:val="20"/>
              </w:rPr>
              <w:t xml:space="preserve"> </w:t>
            </w:r>
            <w:r w:rsidRPr="002467A1">
              <w:rPr>
                <w:spacing w:val="6"/>
                <w:sz w:val="20"/>
                <w:szCs w:val="20"/>
              </w:rPr>
              <w:t>elektronicznych (Dz. U. 2026 r. poz. 3) (dalej „</w:t>
            </w:r>
            <w:proofErr w:type="spellStart"/>
            <w:r w:rsidRPr="002467A1">
              <w:rPr>
                <w:spacing w:val="6"/>
                <w:sz w:val="20"/>
                <w:szCs w:val="20"/>
              </w:rPr>
              <w:t>UoDE</w:t>
            </w:r>
            <w:proofErr w:type="spellEnd"/>
            <w:r w:rsidRPr="002467A1">
              <w:rPr>
                <w:spacing w:val="6"/>
                <w:sz w:val="20"/>
                <w:szCs w:val="20"/>
              </w:rPr>
              <w:t>”).</w:t>
            </w:r>
          </w:p>
        </w:tc>
        <w:tc>
          <w:tcPr>
            <w:tcW w:w="5245" w:type="dxa"/>
          </w:tcPr>
          <w:p w14:paraId="22FF6E24" w14:textId="77777777" w:rsidR="002467A1" w:rsidRPr="00810456" w:rsidRDefault="00075AE3" w:rsidP="00DF109E">
            <w:pPr>
              <w:rPr>
                <w:b/>
                <w:bCs/>
                <w:sz w:val="20"/>
                <w:szCs w:val="20"/>
              </w:rPr>
            </w:pPr>
            <w:r w:rsidRPr="00810456">
              <w:rPr>
                <w:b/>
                <w:bCs/>
                <w:sz w:val="20"/>
                <w:szCs w:val="20"/>
              </w:rPr>
              <w:t>Uwaga wyjaśniona</w:t>
            </w:r>
          </w:p>
          <w:p w14:paraId="7D81B1B5" w14:textId="1D89365D" w:rsidR="00075AE3" w:rsidRDefault="00075AE3" w:rsidP="00075AE3">
            <w:pPr>
              <w:rPr>
                <w:sz w:val="20"/>
                <w:szCs w:val="20"/>
              </w:rPr>
            </w:pPr>
          </w:p>
          <w:p w14:paraId="0015ADEF" w14:textId="562B4AF3" w:rsidR="00FC23B5" w:rsidRDefault="00075AE3" w:rsidP="00075AE3">
            <w:pPr>
              <w:rPr>
                <w:sz w:val="20"/>
                <w:szCs w:val="20"/>
              </w:rPr>
            </w:pPr>
            <w:r w:rsidRPr="00075AE3">
              <w:rPr>
                <w:sz w:val="20"/>
                <w:szCs w:val="20"/>
              </w:rPr>
              <w:t xml:space="preserve">W ocenie MC </w:t>
            </w:r>
            <w:r w:rsidR="00FC23B5">
              <w:rPr>
                <w:sz w:val="20"/>
                <w:szCs w:val="20"/>
              </w:rPr>
              <w:t>przesłanka zapewnienia szybkości i efektywności postępowania jest zbyt ogólną przesłanką i nie jest okolicznością</w:t>
            </w:r>
            <w:r w:rsidR="009C3F7D">
              <w:rPr>
                <w:sz w:val="20"/>
                <w:szCs w:val="20"/>
              </w:rPr>
              <w:t>,</w:t>
            </w:r>
            <w:r w:rsidR="00FC23B5">
              <w:rPr>
                <w:sz w:val="20"/>
                <w:szCs w:val="20"/>
              </w:rPr>
              <w:t xml:space="preserve"> która powinna stanowić podstawę wyłączenia stosowania doręczeń elektronicznych – dotyczy ona bowiem w przedstawionym brzmieniu nie tylko postępowań prowadzonych przed UOKIK. Ponadto mogłaby stanowić podstawę do wyłączenia doręczeń elektronicznych praktycznie w każdym postępowaniu. </w:t>
            </w:r>
          </w:p>
          <w:p w14:paraId="4E4C1870" w14:textId="55E72C8F" w:rsidR="00FC23B5" w:rsidRDefault="00FC23B5" w:rsidP="00075A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Doręczenia elektroniczne wręcz przyczyniają się do sprawniejszego prowadzenia postępowań oraz pozwalają uniknąć</w:t>
            </w:r>
            <w:r w:rsidR="009C3F7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a nie stanowią przeszkody do prowadzenia postępowań. Poczta Polska ma np. obowiązek doręczenia przesyłki w terminie 24h </w:t>
            </w:r>
            <w:r w:rsidR="008E76D4">
              <w:rPr>
                <w:sz w:val="20"/>
                <w:szCs w:val="20"/>
              </w:rPr>
              <w:t>(art. 55 ust. 4 ustawy o doręczeniach elektronicznych).</w:t>
            </w:r>
          </w:p>
          <w:p w14:paraId="5B2E9E5F" w14:textId="77777777" w:rsidR="008E76D4" w:rsidRDefault="008E76D4" w:rsidP="00075AE3">
            <w:pPr>
              <w:rPr>
                <w:sz w:val="20"/>
                <w:szCs w:val="20"/>
              </w:rPr>
            </w:pPr>
          </w:p>
          <w:p w14:paraId="5E6F6F1D" w14:textId="07D55BA1" w:rsidR="008E76D4" w:rsidRDefault="008E76D4" w:rsidP="00075A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Ponadto należy zauważyć, że podmioty wpisane do KRS (do rejestru przedsiębiorców) mają już obowiązek posiadania ADE</w:t>
            </w:r>
            <w:r w:rsidR="009C3F7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a wpisane do CEIDG – w pełnym zakresie będą miały obowiązek posiadania ADE od października 2026 r. W przypadku zatem doręczenia korespondencji do tych podmiotów będzie mogła ona być doręczana na ich ADE oraz podmiot prowadzący postępowanie w przypadku odebrania będzie miał pewność skutecznego jej doręczenia (a w przypadku jej nieodebrania również zastosowanie znajdzie tzw</w:t>
            </w:r>
            <w:r w:rsidR="009C3F7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fikcja doręczenia, którą potwierdzą odpowiednie dowody). </w:t>
            </w:r>
          </w:p>
          <w:p w14:paraId="6435A361" w14:textId="77777777" w:rsidR="008E76D4" w:rsidRDefault="008E76D4" w:rsidP="00075AE3">
            <w:pPr>
              <w:rPr>
                <w:sz w:val="20"/>
                <w:szCs w:val="20"/>
              </w:rPr>
            </w:pPr>
          </w:p>
          <w:p w14:paraId="6D5BBCB3" w14:textId="7D16CC3B" w:rsidR="00FC23B5" w:rsidRDefault="008E76D4" w:rsidP="00075A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uzasadnieniu do zmiany UOKIK wskazał, że: „</w:t>
            </w:r>
            <w:r w:rsidRPr="008E76D4">
              <w:rPr>
                <w:sz w:val="20"/>
                <w:szCs w:val="20"/>
              </w:rPr>
              <w:t>Jedną z wykorzystywanych strategii jest niepodejmowanie pism od Prezesa Urzędu</w:t>
            </w:r>
            <w:r>
              <w:rPr>
                <w:sz w:val="20"/>
                <w:szCs w:val="20"/>
              </w:rPr>
              <w:t>”</w:t>
            </w:r>
            <w:r w:rsidR="009C3F7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Natomiast należy zauważyć, że stosowanie </w:t>
            </w:r>
            <w:r>
              <w:rPr>
                <w:sz w:val="20"/>
                <w:szCs w:val="20"/>
              </w:rPr>
              <w:lastRenderedPageBreak/>
              <w:t>doręczeń elektronicznych nie wyklucza również osobistego doręczenia korespondencji – o ile korespondencja zostanie oczywiście sporządzona w postaci papierowej</w:t>
            </w:r>
            <w:r w:rsidR="00D87532">
              <w:rPr>
                <w:sz w:val="20"/>
                <w:szCs w:val="20"/>
              </w:rPr>
              <w:t xml:space="preserve"> i taka możliwość wynika np. z przepisów KPA czy OP.</w:t>
            </w:r>
          </w:p>
          <w:p w14:paraId="03895488" w14:textId="77777777" w:rsidR="00D87532" w:rsidRDefault="00D87532" w:rsidP="00075AE3">
            <w:pPr>
              <w:rPr>
                <w:sz w:val="20"/>
                <w:szCs w:val="20"/>
              </w:rPr>
            </w:pPr>
          </w:p>
          <w:p w14:paraId="7E49D710" w14:textId="0F15B5D5" w:rsidR="00075AE3" w:rsidRPr="00EF4667" w:rsidRDefault="00FC23B5" w:rsidP="00FC23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Dlatego w ocenie MC nie jest zasadne dodawanie nowej przesłanki niestosowania przepisów o PURDE i PUH</w:t>
            </w:r>
            <w:r w:rsidR="009C3F7D">
              <w:rPr>
                <w:sz w:val="20"/>
                <w:szCs w:val="20"/>
              </w:rPr>
              <w:t>. Z</w:t>
            </w:r>
            <w:r>
              <w:rPr>
                <w:sz w:val="20"/>
                <w:szCs w:val="20"/>
              </w:rPr>
              <w:t xml:space="preserve">asadne jest stosowanie tylko już istniejących odstępstw </w:t>
            </w:r>
            <w:r w:rsidR="00075AE3" w:rsidRPr="00075AE3">
              <w:rPr>
                <w:sz w:val="20"/>
                <w:szCs w:val="20"/>
              </w:rPr>
              <w:t>określonych w art. 6 ustawy o doręczeniach elektronicznych.</w:t>
            </w:r>
          </w:p>
        </w:tc>
      </w:tr>
      <w:tr w:rsidR="00CE213A" w:rsidRPr="00EF4667" w14:paraId="11F3C299" w14:textId="77777777" w:rsidTr="00DF109E">
        <w:trPr>
          <w:jc w:val="center"/>
        </w:trPr>
        <w:tc>
          <w:tcPr>
            <w:tcW w:w="704" w:type="dxa"/>
          </w:tcPr>
          <w:p w14:paraId="496D3EF4" w14:textId="77777777" w:rsidR="00CE213A" w:rsidRPr="00EF4667" w:rsidRDefault="00CE213A" w:rsidP="00CE213A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F14EAB5" w14:textId="620D1C52" w:rsidR="00CE213A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UKE</w:t>
            </w:r>
          </w:p>
        </w:tc>
        <w:tc>
          <w:tcPr>
            <w:tcW w:w="1417" w:type="dxa"/>
          </w:tcPr>
          <w:p w14:paraId="607D1A50" w14:textId="66E6AE8F" w:rsidR="00CE213A" w:rsidRDefault="00CE213A" w:rsidP="00CE213A">
            <w:pPr>
              <w:rPr>
                <w:spacing w:val="6"/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Art. 1 pkt 5</w:t>
            </w:r>
          </w:p>
        </w:tc>
        <w:tc>
          <w:tcPr>
            <w:tcW w:w="5954" w:type="dxa"/>
          </w:tcPr>
          <w:p w14:paraId="3A6752F1" w14:textId="4738B1D9" w:rsidR="00CE213A" w:rsidRPr="00310FA2" w:rsidRDefault="00CE213A" w:rsidP="00CE213A">
            <w:pPr>
              <w:rPr>
                <w:spacing w:val="6"/>
                <w:sz w:val="20"/>
                <w:szCs w:val="20"/>
              </w:rPr>
            </w:pPr>
            <w:r w:rsidRPr="006466AE">
              <w:rPr>
                <w:spacing w:val="6"/>
                <w:sz w:val="20"/>
                <w:szCs w:val="20"/>
              </w:rPr>
              <w:t>w art. 1 pkt 5 Projektu dodaje się art. 6a w ustawie z dnia 18 listopada 2020 r. o doręczeniach elektronicznych, zwanej dalej „UDE”, który to przepis nakłada na podmioty publiczne wykorzystujące do wnoszenia lub doręczania korespondencji rozwiązania techniczno-organizacyjne inne niż adres do doręczeń elektronicznych obowiązek zintegrowania stosowanych przez te podmioty rozwiązań z systemem teleinformatycznym, o którym mowa w art. 58 ust. 3 UDE, w celu umożliwienia wnoszenia lub doręczania korespondencji z wykorzystaniem usługi rejestrowanego doręczenia elektronicznego. W związku z treścią projektowanego przepisu rozważenia wymaga, czy nakładany nim obowiązek nie powinien obejmować również podmiotów niepublicznych realizujących zadania publiczne, a także czy w projektowanym przepisie nie powinno chodzić tylko o publiczną usługę rejestrowanego doręczenia elektronicznego w rozumieniu art. 2 pkt 8 UDE w brzmieniu nadawanym Projektem (a nie o każdą usługę rejestrowanego doręczenia elektronicznego);</w:t>
            </w:r>
          </w:p>
        </w:tc>
        <w:tc>
          <w:tcPr>
            <w:tcW w:w="5245" w:type="dxa"/>
          </w:tcPr>
          <w:p w14:paraId="01672B3D" w14:textId="77777777" w:rsidR="00CE213A" w:rsidRPr="00810456" w:rsidRDefault="00CE213A" w:rsidP="00CE213A">
            <w:pPr>
              <w:rPr>
                <w:b/>
                <w:bCs/>
                <w:sz w:val="20"/>
                <w:szCs w:val="20"/>
              </w:rPr>
            </w:pPr>
            <w:r w:rsidRPr="00810456">
              <w:rPr>
                <w:b/>
                <w:bCs/>
                <w:sz w:val="20"/>
                <w:szCs w:val="20"/>
              </w:rPr>
              <w:t>Uwaga wyjaśniona</w:t>
            </w:r>
          </w:p>
          <w:p w14:paraId="649A84C4" w14:textId="77777777" w:rsidR="00CE213A" w:rsidRDefault="00CE213A" w:rsidP="00CE213A">
            <w:pPr>
              <w:rPr>
                <w:sz w:val="20"/>
                <w:szCs w:val="20"/>
              </w:rPr>
            </w:pPr>
          </w:p>
          <w:p w14:paraId="7AF1BE2B" w14:textId="4EED5C7B" w:rsidR="00F83DBE" w:rsidRDefault="00F83DBE" w:rsidP="00F83D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Przepisy dotyczące KPP zostaną uwzględnione </w:t>
            </w:r>
            <w:r w:rsidRPr="0048713C">
              <w:rPr>
                <w:sz w:val="20"/>
                <w:szCs w:val="20"/>
              </w:rPr>
              <w:t>w projekcie ustawy o zmianie ustawy o usługach zaufania (projekt UC122)</w:t>
            </w:r>
            <w:r w:rsidR="009C3F7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gdzie zrezygnowano z przepisów i zwolnień z opłat dotyczących podmiotów niepublicznych realizujących zadania publiczne.</w:t>
            </w:r>
          </w:p>
          <w:p w14:paraId="6DF26506" w14:textId="77777777" w:rsidR="00CE213A" w:rsidRPr="006F0DC4" w:rsidRDefault="00CE213A" w:rsidP="00CE213A">
            <w:pPr>
              <w:rPr>
                <w:sz w:val="20"/>
                <w:szCs w:val="20"/>
              </w:rPr>
            </w:pPr>
          </w:p>
          <w:p w14:paraId="0DDF281D" w14:textId="76FDE1BD" w:rsidR="00CE213A" w:rsidRPr="006F0DC4" w:rsidRDefault="00CE213A" w:rsidP="00CE213A">
            <w:pPr>
              <w:rPr>
                <w:sz w:val="20"/>
                <w:szCs w:val="20"/>
              </w:rPr>
            </w:pPr>
            <w:r w:rsidRPr="006F0DC4">
              <w:rPr>
                <w:sz w:val="20"/>
                <w:szCs w:val="20"/>
              </w:rPr>
              <w:t>Wprowadzenie obowiązku integracji z e-Doręczeniami zapewni obywatelom i przedsiębiorcom jedno miejsce, w którym będą mieli zgromadzoną całą korespondencję z urzędami, bez względu na to, z którego serwisu udostępniającego e-usługi korzystali.</w:t>
            </w:r>
          </w:p>
          <w:p w14:paraId="4512A252" w14:textId="77777777" w:rsidR="00CE213A" w:rsidRPr="006F0DC4" w:rsidRDefault="00CE213A" w:rsidP="00CE213A">
            <w:pPr>
              <w:rPr>
                <w:rFonts w:cs="Times New Roman"/>
                <w:color w:val="000000" w:themeColor="text1"/>
                <w:szCs w:val="24"/>
              </w:rPr>
            </w:pPr>
          </w:p>
          <w:p w14:paraId="76EA100F" w14:textId="77777777" w:rsidR="00CE213A" w:rsidRPr="00975E27" w:rsidRDefault="00CE213A" w:rsidP="00CE213A">
            <w:pPr>
              <w:rPr>
                <w:sz w:val="20"/>
                <w:szCs w:val="20"/>
              </w:rPr>
            </w:pPr>
            <w:r w:rsidRPr="00975E27">
              <w:rPr>
                <w:sz w:val="20"/>
                <w:szCs w:val="20"/>
              </w:rPr>
              <w:t>Dodawany art. 6a zobowiązuje urzędy do połączenia ich systemów obsługi korespondencji z usługą e</w:t>
            </w:r>
            <w:r w:rsidRPr="00975E27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975E27">
              <w:rPr>
                <w:sz w:val="20"/>
                <w:szCs w:val="20"/>
              </w:rPr>
              <w:t>Doręczeń, czyli oficjalnym kanałem elektronicznej wymiany korespondencji. Celem jest zapewnienie skutecznego i jednolitego doręczania wiadomości do podmiotów publicznych.</w:t>
            </w:r>
          </w:p>
          <w:p w14:paraId="0C76FB59" w14:textId="77777777" w:rsidR="00CE213A" w:rsidRPr="00975E27" w:rsidRDefault="00CE213A" w:rsidP="00CE213A">
            <w:pPr>
              <w:rPr>
                <w:sz w:val="20"/>
                <w:szCs w:val="20"/>
              </w:rPr>
            </w:pPr>
          </w:p>
          <w:p w14:paraId="4B954E63" w14:textId="77777777" w:rsidR="00CE213A" w:rsidRPr="00975E27" w:rsidRDefault="00CE213A" w:rsidP="00CE213A">
            <w:pPr>
              <w:rPr>
                <w:sz w:val="20"/>
                <w:szCs w:val="20"/>
              </w:rPr>
            </w:pPr>
            <w:r w:rsidRPr="00975E27">
              <w:rPr>
                <w:sz w:val="20"/>
                <w:szCs w:val="20"/>
              </w:rPr>
              <w:t>Podkreślić należy, iż regulacja nie wymaga rezygnacji z dotychczas używanych systemów dziedzinowych realizujących wysyłkę korespondencji do podmiotów. </w:t>
            </w:r>
          </w:p>
          <w:p w14:paraId="39ED09A0" w14:textId="77777777" w:rsidR="00CE213A" w:rsidRPr="00975E27" w:rsidRDefault="00CE213A" w:rsidP="00CE213A">
            <w:pPr>
              <w:rPr>
                <w:sz w:val="20"/>
                <w:szCs w:val="20"/>
              </w:rPr>
            </w:pPr>
          </w:p>
          <w:p w14:paraId="55971AE9" w14:textId="77777777" w:rsidR="00CE213A" w:rsidRPr="00975E27" w:rsidRDefault="00CE213A" w:rsidP="00CE213A">
            <w:pPr>
              <w:rPr>
                <w:sz w:val="20"/>
                <w:szCs w:val="20"/>
              </w:rPr>
            </w:pPr>
            <w:r w:rsidRPr="00975E27">
              <w:rPr>
                <w:sz w:val="20"/>
                <w:szCs w:val="20"/>
              </w:rPr>
              <w:t>Nakłada jedynie obowiązek, aby ich właściciele (urzędowe podmioty publiczne) udostępnili dodatkowy kanał komunikacji – usługę e</w:t>
            </w:r>
            <w:r w:rsidRPr="00975E27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975E27">
              <w:rPr>
                <w:sz w:val="20"/>
                <w:szCs w:val="20"/>
              </w:rPr>
              <w:t>Doręczeń. Dzięki temu podmioty (m.in. osoby i firmy) wysyłające dokumenty będą mogły korzystać z tej usługi jako jednej z dostępnych dróg kontaktu.</w:t>
            </w:r>
          </w:p>
          <w:p w14:paraId="20F04A0B" w14:textId="77777777" w:rsidR="00CE213A" w:rsidRPr="00975E27" w:rsidRDefault="00CE213A" w:rsidP="00CE213A">
            <w:pPr>
              <w:rPr>
                <w:sz w:val="20"/>
                <w:szCs w:val="20"/>
              </w:rPr>
            </w:pPr>
          </w:p>
          <w:p w14:paraId="3D5542F7" w14:textId="1DBBB19E" w:rsidR="00CE213A" w:rsidRPr="00975E27" w:rsidRDefault="00CE213A" w:rsidP="00CE213A">
            <w:pPr>
              <w:rPr>
                <w:sz w:val="20"/>
                <w:szCs w:val="20"/>
              </w:rPr>
            </w:pPr>
            <w:r w:rsidRPr="00975E27">
              <w:rPr>
                <w:sz w:val="20"/>
                <w:szCs w:val="20"/>
              </w:rPr>
              <w:lastRenderedPageBreak/>
              <w:t>W zakresie podniesionych utrudnień dot. integracji</w:t>
            </w:r>
            <w:r w:rsidR="009C3F7D">
              <w:rPr>
                <w:sz w:val="20"/>
                <w:szCs w:val="20"/>
              </w:rPr>
              <w:t xml:space="preserve"> wskazujemy, że </w:t>
            </w:r>
            <w:r w:rsidRPr="00975E27">
              <w:rPr>
                <w:sz w:val="20"/>
                <w:szCs w:val="20"/>
              </w:rPr>
              <w:t>istnieją już gotowe narzędzia (systemy klasy EZD, w tym np. system EZD RP dedykowany dla podmiotów publicznych), a także instrukcje i wsparcie, które pozwalają połączyć (zintegrować) obecne systemy podmiotów publicznych z e</w:t>
            </w:r>
            <w:r w:rsidRPr="00975E27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975E27">
              <w:rPr>
                <w:sz w:val="20"/>
                <w:szCs w:val="20"/>
              </w:rPr>
              <w:t>Doręczeniami.</w:t>
            </w:r>
          </w:p>
          <w:p w14:paraId="0AF6D5B3" w14:textId="77777777" w:rsidR="00CE213A" w:rsidRPr="00975E27" w:rsidRDefault="00CE213A" w:rsidP="00CE213A">
            <w:pPr>
              <w:rPr>
                <w:sz w:val="20"/>
                <w:szCs w:val="20"/>
              </w:rPr>
            </w:pPr>
          </w:p>
          <w:p w14:paraId="3A70F0F2" w14:textId="77777777" w:rsidR="00CE213A" w:rsidRPr="00975E27" w:rsidRDefault="00CE213A" w:rsidP="00CE213A">
            <w:pPr>
              <w:rPr>
                <w:sz w:val="20"/>
                <w:szCs w:val="20"/>
              </w:rPr>
            </w:pPr>
            <w:r w:rsidRPr="00975E27">
              <w:rPr>
                <w:sz w:val="20"/>
                <w:szCs w:val="20"/>
              </w:rPr>
              <w:t>Korzyściami wprowadzenia regulacji są:</w:t>
            </w:r>
          </w:p>
          <w:p w14:paraId="19D8413E" w14:textId="77777777" w:rsidR="00CE213A" w:rsidRPr="00975E27" w:rsidRDefault="00CE213A" w:rsidP="00CE213A">
            <w:pPr>
              <w:rPr>
                <w:sz w:val="20"/>
                <w:szCs w:val="20"/>
              </w:rPr>
            </w:pPr>
          </w:p>
          <w:p w14:paraId="184BAC63" w14:textId="77777777" w:rsidR="00CE213A" w:rsidRPr="00975E27" w:rsidRDefault="00CE213A" w:rsidP="00CE213A">
            <w:pPr>
              <w:rPr>
                <w:sz w:val="20"/>
                <w:szCs w:val="20"/>
              </w:rPr>
            </w:pPr>
            <w:r w:rsidRPr="00975E27">
              <w:rPr>
                <w:sz w:val="20"/>
                <w:szCs w:val="20"/>
              </w:rPr>
              <w:t>1) możliwość automatycznego odbioru i przetwarzania spraw przez urzędy, a zatem usprawnienie obsługi korespondencji przychodzącej i wychodzącej,</w:t>
            </w:r>
          </w:p>
          <w:p w14:paraId="2A2102AB" w14:textId="77777777" w:rsidR="00CE213A" w:rsidRPr="00975E27" w:rsidRDefault="00CE213A" w:rsidP="00CE213A">
            <w:pPr>
              <w:rPr>
                <w:sz w:val="20"/>
                <w:szCs w:val="20"/>
              </w:rPr>
            </w:pPr>
          </w:p>
          <w:p w14:paraId="4F703682" w14:textId="79842426" w:rsidR="00CE213A" w:rsidRPr="00975E27" w:rsidRDefault="00CE213A" w:rsidP="00CE213A">
            <w:pPr>
              <w:rPr>
                <w:sz w:val="20"/>
                <w:szCs w:val="20"/>
              </w:rPr>
            </w:pPr>
            <w:r w:rsidRPr="00975E27">
              <w:rPr>
                <w:sz w:val="20"/>
                <w:szCs w:val="20"/>
              </w:rPr>
              <w:t>2) jasne i spójne zasady komunikacji dla obywateli, firm i podmiotów publicznych (w szczególności zapewnienie użytkownikom możliwości skutecznego doręczenia przesyłek)</w:t>
            </w:r>
            <w:r w:rsidR="00F83DBE">
              <w:rPr>
                <w:sz w:val="20"/>
                <w:szCs w:val="20"/>
              </w:rPr>
              <w:t>.</w:t>
            </w:r>
          </w:p>
          <w:p w14:paraId="1EE7F1A5" w14:textId="77777777" w:rsidR="00CE213A" w:rsidRPr="00975E27" w:rsidRDefault="00CE213A" w:rsidP="00CE213A">
            <w:pPr>
              <w:rPr>
                <w:sz w:val="20"/>
                <w:szCs w:val="20"/>
              </w:rPr>
            </w:pPr>
          </w:p>
          <w:p w14:paraId="432E074E" w14:textId="4499CED2" w:rsidR="00CE213A" w:rsidRPr="00975E27" w:rsidRDefault="00CE213A" w:rsidP="00CE213A">
            <w:pPr>
              <w:rPr>
                <w:sz w:val="20"/>
                <w:szCs w:val="20"/>
              </w:rPr>
            </w:pPr>
            <w:r w:rsidRPr="00975E27">
              <w:rPr>
                <w:sz w:val="20"/>
                <w:szCs w:val="20"/>
              </w:rPr>
              <w:t>Tym samym zaproponowane rozwiązanie porządkuje komunikację elektroniczną z administracją publiczną, bez konieczności zmiany istniejących systemów – jedynie uzupełnia ją o dodatkowy wspólny, sprawdzony i wystandaryzowany przepisami prawa kanał.</w:t>
            </w:r>
          </w:p>
          <w:p w14:paraId="57DB164C" w14:textId="77777777" w:rsidR="00CE213A" w:rsidRPr="00975E27" w:rsidRDefault="00CE213A" w:rsidP="00CE213A">
            <w:pPr>
              <w:rPr>
                <w:sz w:val="20"/>
                <w:szCs w:val="20"/>
              </w:rPr>
            </w:pPr>
          </w:p>
          <w:p w14:paraId="0AF34F15" w14:textId="431F84C4" w:rsidR="00CE213A" w:rsidRPr="00975E27" w:rsidRDefault="00CE213A" w:rsidP="00CE213A">
            <w:pPr>
              <w:rPr>
                <w:sz w:val="20"/>
                <w:szCs w:val="20"/>
              </w:rPr>
            </w:pPr>
            <w:r w:rsidRPr="00975E27">
              <w:rPr>
                <w:sz w:val="20"/>
                <w:szCs w:val="20"/>
              </w:rPr>
              <w:t>Dodatkowo należy zauważyć, że doprecyzowano przepis art. 3 pkt 1 lit. d</w:t>
            </w:r>
            <w:r w:rsidR="009C3F7D">
              <w:rPr>
                <w:sz w:val="20"/>
                <w:szCs w:val="20"/>
              </w:rPr>
              <w:t>,</w:t>
            </w:r>
            <w:r w:rsidRPr="00975E27">
              <w:rPr>
                <w:sz w:val="20"/>
                <w:szCs w:val="20"/>
              </w:rPr>
              <w:t xml:space="preserve"> tak aby nie budziło wątpliwości, że po integracji systemów podmiotów publicznych wykorzystywanych do wymiany korespondencji z system</w:t>
            </w:r>
            <w:r w:rsidR="009C3F7D">
              <w:rPr>
                <w:sz w:val="20"/>
                <w:szCs w:val="20"/>
              </w:rPr>
              <w:t>em</w:t>
            </w:r>
            <w:r w:rsidRPr="00975E27">
              <w:rPr>
                <w:sz w:val="20"/>
                <w:szCs w:val="20"/>
              </w:rPr>
              <w:t xml:space="preserve"> z art. 58 ust. 3 ustawy o doręczeniach elektronicznych, które przepisy będą miał</w:t>
            </w:r>
            <w:r w:rsidR="009C3F7D">
              <w:rPr>
                <w:sz w:val="20"/>
                <w:szCs w:val="20"/>
              </w:rPr>
              <w:t>y</w:t>
            </w:r>
            <w:r w:rsidRPr="00975E27">
              <w:rPr>
                <w:sz w:val="20"/>
                <w:szCs w:val="20"/>
              </w:rPr>
              <w:t xml:space="preserve"> zastosowanie w zakresie zasad doręczenia korespondencji. </w:t>
            </w:r>
          </w:p>
          <w:p w14:paraId="332D9A91" w14:textId="77777777" w:rsidR="00CE213A" w:rsidRPr="00975E27" w:rsidRDefault="00CE213A" w:rsidP="00CE213A">
            <w:pPr>
              <w:rPr>
                <w:sz w:val="20"/>
                <w:szCs w:val="20"/>
              </w:rPr>
            </w:pPr>
          </w:p>
          <w:p w14:paraId="778F8084" w14:textId="77777777" w:rsidR="00CE213A" w:rsidRPr="006F0DC4" w:rsidRDefault="00CE213A" w:rsidP="00CE213A">
            <w:pPr>
              <w:rPr>
                <w:sz w:val="20"/>
                <w:szCs w:val="20"/>
              </w:rPr>
            </w:pPr>
            <w:r w:rsidRPr="006F0DC4">
              <w:rPr>
                <w:sz w:val="20"/>
                <w:szCs w:val="20"/>
              </w:rPr>
              <w:t>Ustawy nie stosuje się do  doręczania korespondencji:</w:t>
            </w:r>
          </w:p>
          <w:p w14:paraId="574251F8" w14:textId="77777777" w:rsidR="00CE213A" w:rsidRPr="006F0DC4" w:rsidRDefault="00CE213A" w:rsidP="00CE213A">
            <w:pPr>
              <w:rPr>
                <w:sz w:val="20"/>
                <w:szCs w:val="20"/>
              </w:rPr>
            </w:pPr>
          </w:p>
          <w:p w14:paraId="28E5C643" w14:textId="7BF14944" w:rsidR="00CE213A" w:rsidRPr="00075AE3" w:rsidRDefault="00CE213A" w:rsidP="00CE213A">
            <w:pPr>
              <w:rPr>
                <w:sz w:val="20"/>
                <w:szCs w:val="20"/>
                <w:highlight w:val="yellow"/>
              </w:rPr>
            </w:pPr>
            <w:r w:rsidRPr="006F0DC4">
              <w:rPr>
                <w:sz w:val="20"/>
                <w:szCs w:val="20"/>
              </w:rPr>
              <w:t>„d)</w:t>
            </w:r>
            <w:r w:rsidRPr="006F0DC4">
              <w:rPr>
                <w:sz w:val="20"/>
                <w:szCs w:val="20"/>
              </w:rPr>
              <w:tab/>
              <w:t>wnoszonej lub doręczanej z wykorzystaniem innych niż adres do doręczeń elektronicznych rozwiązań techniczno-organizacyjnych na podstawie odrębnych przepisów, w szczególności na konta w systemach teleinformatycznych obsługujących postępowania sądowe, na konta w systemach teleinformatycznych organów administracji publicznej lub do repozytoriów dokumentów;”.</w:t>
            </w:r>
          </w:p>
        </w:tc>
      </w:tr>
      <w:tr w:rsidR="00CE213A" w:rsidRPr="00EF4667" w14:paraId="22728534" w14:textId="77777777" w:rsidTr="00DF109E">
        <w:trPr>
          <w:jc w:val="center"/>
        </w:trPr>
        <w:tc>
          <w:tcPr>
            <w:tcW w:w="704" w:type="dxa"/>
          </w:tcPr>
          <w:p w14:paraId="794A04DD" w14:textId="77777777" w:rsidR="00CE213A" w:rsidRPr="00EF4667" w:rsidRDefault="00CE213A" w:rsidP="00CE213A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7A982E7" w14:textId="2ECAD6A0" w:rsidR="00CE213A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UOKiK</w:t>
            </w:r>
          </w:p>
        </w:tc>
        <w:tc>
          <w:tcPr>
            <w:tcW w:w="1417" w:type="dxa"/>
          </w:tcPr>
          <w:p w14:paraId="2D0FB20F" w14:textId="75CF7ED3" w:rsidR="00CE213A" w:rsidRDefault="00CE213A" w:rsidP="00CE213A">
            <w:pPr>
              <w:rPr>
                <w:spacing w:val="6"/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Art. 1 pkt 6</w:t>
            </w:r>
          </w:p>
        </w:tc>
        <w:tc>
          <w:tcPr>
            <w:tcW w:w="5954" w:type="dxa"/>
          </w:tcPr>
          <w:p w14:paraId="4AEE5DD9" w14:textId="77777777" w:rsidR="00CE213A" w:rsidRDefault="00CE213A" w:rsidP="00CE213A">
            <w:pPr>
              <w:rPr>
                <w:spacing w:val="6"/>
                <w:sz w:val="20"/>
                <w:szCs w:val="20"/>
              </w:rPr>
            </w:pPr>
            <w:r w:rsidRPr="00B20579">
              <w:rPr>
                <w:spacing w:val="6"/>
                <w:sz w:val="20"/>
                <w:szCs w:val="20"/>
              </w:rPr>
              <w:t xml:space="preserve">Jednocześnie pragnę zwrócić uwagę, że w art. 9 </w:t>
            </w:r>
            <w:proofErr w:type="spellStart"/>
            <w:r w:rsidRPr="00B20579">
              <w:rPr>
                <w:spacing w:val="6"/>
                <w:sz w:val="20"/>
                <w:szCs w:val="20"/>
              </w:rPr>
              <w:t>UoDE</w:t>
            </w:r>
            <w:proofErr w:type="spellEnd"/>
            <w:r w:rsidRPr="00B20579">
              <w:rPr>
                <w:spacing w:val="6"/>
                <w:sz w:val="20"/>
                <w:szCs w:val="20"/>
              </w:rPr>
              <w:t xml:space="preserve"> zaproponowano dodanie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B20579">
              <w:rPr>
                <w:spacing w:val="6"/>
                <w:sz w:val="20"/>
                <w:szCs w:val="20"/>
              </w:rPr>
              <w:t>ust. 1a, który będzie stanowił podstawę do tego, aby podmioty, o których mowa w art. 9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B20579">
              <w:rPr>
                <w:spacing w:val="6"/>
                <w:sz w:val="20"/>
                <w:szCs w:val="20"/>
              </w:rPr>
              <w:t xml:space="preserve">ust. 1 </w:t>
            </w:r>
            <w:proofErr w:type="spellStart"/>
            <w:r w:rsidRPr="00B20579">
              <w:rPr>
                <w:spacing w:val="6"/>
                <w:sz w:val="20"/>
                <w:szCs w:val="20"/>
              </w:rPr>
              <w:t>UoDE</w:t>
            </w:r>
            <w:proofErr w:type="spellEnd"/>
            <w:r w:rsidRPr="00B20579">
              <w:rPr>
                <w:spacing w:val="6"/>
                <w:sz w:val="20"/>
                <w:szCs w:val="20"/>
              </w:rPr>
              <w:t xml:space="preserve"> (a więc podmioty inne niż publiczne zobowiązane do posiadania ADE), </w:t>
            </w:r>
            <w:r w:rsidRPr="00B20579">
              <w:rPr>
                <w:b/>
                <w:bCs/>
                <w:spacing w:val="6"/>
                <w:sz w:val="20"/>
                <w:szCs w:val="20"/>
              </w:rPr>
              <w:t>były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B20579">
              <w:rPr>
                <w:b/>
                <w:bCs/>
                <w:spacing w:val="6"/>
                <w:sz w:val="20"/>
                <w:szCs w:val="20"/>
              </w:rPr>
              <w:t>obowiązane do wymiany korespondencji z podmiotami publicznymi z wykorzystaniem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B20579">
              <w:rPr>
                <w:b/>
                <w:bCs/>
                <w:spacing w:val="6"/>
                <w:sz w:val="20"/>
                <w:szCs w:val="20"/>
              </w:rPr>
              <w:t>publicznej usługi rejestrowanego doręczenia elektronicznego lub kwalifikowanej usługi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B20579">
              <w:rPr>
                <w:b/>
                <w:bCs/>
                <w:spacing w:val="6"/>
                <w:sz w:val="20"/>
                <w:szCs w:val="20"/>
              </w:rPr>
              <w:t>rejestrowanego doręczenia elektronicznego</w:t>
            </w:r>
            <w:r w:rsidRPr="00B20579">
              <w:rPr>
                <w:spacing w:val="6"/>
                <w:sz w:val="20"/>
                <w:szCs w:val="20"/>
              </w:rPr>
              <w:t>. W projekcie wskazano, że proponowana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B20579">
              <w:rPr>
                <w:spacing w:val="6"/>
                <w:sz w:val="20"/>
                <w:szCs w:val="20"/>
              </w:rPr>
              <w:t xml:space="preserve">zmiana jest podyktowana koniecznością ustalenia </w:t>
            </w:r>
            <w:r w:rsidRPr="00B20579">
              <w:rPr>
                <w:b/>
                <w:bCs/>
                <w:spacing w:val="6"/>
                <w:sz w:val="20"/>
                <w:szCs w:val="20"/>
              </w:rPr>
              <w:t>jednolitego i jednoznacznego sposobu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B20579">
              <w:rPr>
                <w:b/>
                <w:bCs/>
                <w:spacing w:val="6"/>
                <w:sz w:val="20"/>
                <w:szCs w:val="20"/>
              </w:rPr>
              <w:t xml:space="preserve">wymiany korespondencji pomiędzy podmiotami z art. 9 ust. 1 </w:t>
            </w:r>
            <w:proofErr w:type="spellStart"/>
            <w:r w:rsidRPr="00B20579">
              <w:rPr>
                <w:b/>
                <w:bCs/>
                <w:spacing w:val="6"/>
                <w:sz w:val="20"/>
                <w:szCs w:val="20"/>
              </w:rPr>
              <w:t>UoDE</w:t>
            </w:r>
            <w:proofErr w:type="spellEnd"/>
            <w:r w:rsidRPr="00B20579">
              <w:rPr>
                <w:b/>
                <w:bCs/>
                <w:spacing w:val="6"/>
                <w:sz w:val="20"/>
                <w:szCs w:val="20"/>
              </w:rPr>
              <w:t xml:space="preserve"> a podmiotami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B20579">
              <w:rPr>
                <w:b/>
                <w:bCs/>
                <w:spacing w:val="6"/>
                <w:sz w:val="20"/>
                <w:szCs w:val="20"/>
              </w:rPr>
              <w:t>publicznymi</w:t>
            </w:r>
            <w:r w:rsidRPr="00B20579">
              <w:rPr>
                <w:spacing w:val="6"/>
                <w:sz w:val="20"/>
                <w:szCs w:val="20"/>
              </w:rPr>
              <w:t>. Ponadto wprowadzenie jednoznacznej reguły dotyczącej formy/kanału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B20579">
              <w:rPr>
                <w:spacing w:val="6"/>
                <w:sz w:val="20"/>
                <w:szCs w:val="20"/>
              </w:rPr>
              <w:t>korespondencji porządkuje sposób korespondencji przez te podmioty z podmiotami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B20579">
              <w:rPr>
                <w:spacing w:val="6"/>
                <w:sz w:val="20"/>
                <w:szCs w:val="20"/>
              </w:rPr>
              <w:t>publicznymi przez zobligowanie do korzystania z e-Doręczeń.</w:t>
            </w:r>
          </w:p>
          <w:p w14:paraId="0EB62D7D" w14:textId="26F27F0F" w:rsidR="00CE213A" w:rsidRPr="00B20579" w:rsidRDefault="00CE213A" w:rsidP="00CE213A">
            <w:pPr>
              <w:rPr>
                <w:spacing w:val="6"/>
                <w:sz w:val="20"/>
                <w:szCs w:val="20"/>
              </w:rPr>
            </w:pPr>
            <w:r w:rsidRPr="00B20579">
              <w:rPr>
                <w:spacing w:val="6"/>
                <w:sz w:val="20"/>
                <w:szCs w:val="20"/>
              </w:rPr>
              <w:t xml:space="preserve">W art. 9 w ust. 1 </w:t>
            </w:r>
            <w:proofErr w:type="spellStart"/>
            <w:r w:rsidRPr="00B20579">
              <w:rPr>
                <w:spacing w:val="6"/>
                <w:sz w:val="20"/>
                <w:szCs w:val="20"/>
              </w:rPr>
              <w:t>UoDE</w:t>
            </w:r>
            <w:proofErr w:type="spellEnd"/>
            <w:r w:rsidRPr="00B20579">
              <w:rPr>
                <w:spacing w:val="6"/>
                <w:sz w:val="20"/>
                <w:szCs w:val="20"/>
              </w:rPr>
              <w:t xml:space="preserve"> wskazano, iż podmiotami takimi są w szczególności adwokat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B20579">
              <w:rPr>
                <w:spacing w:val="6"/>
                <w:sz w:val="20"/>
                <w:szCs w:val="20"/>
              </w:rPr>
              <w:t>wykonujący zawód i radca prawny wykonujący zawód. Norma prawna dotyczyć więc będzie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B20579">
              <w:rPr>
                <w:spacing w:val="6"/>
                <w:sz w:val="20"/>
                <w:szCs w:val="20"/>
              </w:rPr>
              <w:t>często występującej sytuacji, gdy strona postępowania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B20579">
              <w:rPr>
                <w:spacing w:val="6"/>
                <w:sz w:val="20"/>
                <w:szCs w:val="20"/>
              </w:rPr>
              <w:t>administracyjnego reprezentowana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B20579">
              <w:rPr>
                <w:spacing w:val="6"/>
                <w:sz w:val="20"/>
                <w:szCs w:val="20"/>
              </w:rPr>
              <w:t>jest przez pełnomocnika profesjonalnego.</w:t>
            </w:r>
          </w:p>
          <w:p w14:paraId="42028BC4" w14:textId="5B895482" w:rsidR="00CE213A" w:rsidRPr="00B20579" w:rsidRDefault="00CE213A" w:rsidP="00CE213A">
            <w:pPr>
              <w:rPr>
                <w:i/>
                <w:iCs/>
                <w:spacing w:val="6"/>
                <w:sz w:val="20"/>
                <w:szCs w:val="20"/>
              </w:rPr>
            </w:pPr>
            <w:r w:rsidRPr="00B20579">
              <w:rPr>
                <w:spacing w:val="6"/>
                <w:sz w:val="20"/>
                <w:szCs w:val="20"/>
              </w:rPr>
              <w:t xml:space="preserve">O ile bowiem ustanawia się </w:t>
            </w:r>
            <w:r w:rsidRPr="00B20579">
              <w:rPr>
                <w:i/>
                <w:iCs/>
                <w:spacing w:val="6"/>
                <w:sz w:val="20"/>
                <w:szCs w:val="20"/>
              </w:rPr>
              <w:t>„jednolity i jednoznaczny sposobu wymiany</w:t>
            </w:r>
            <w:r>
              <w:rPr>
                <w:i/>
                <w:iCs/>
                <w:spacing w:val="6"/>
                <w:sz w:val="20"/>
                <w:szCs w:val="20"/>
              </w:rPr>
              <w:t xml:space="preserve"> </w:t>
            </w:r>
            <w:r w:rsidRPr="00B20579">
              <w:rPr>
                <w:i/>
                <w:iCs/>
                <w:spacing w:val="6"/>
                <w:sz w:val="20"/>
                <w:szCs w:val="20"/>
              </w:rPr>
              <w:t xml:space="preserve">korespondencji pomiędzy podmiotami z art. 9 ust. 1 </w:t>
            </w:r>
            <w:proofErr w:type="spellStart"/>
            <w:r w:rsidRPr="00B20579">
              <w:rPr>
                <w:i/>
                <w:iCs/>
                <w:spacing w:val="6"/>
                <w:sz w:val="20"/>
                <w:szCs w:val="20"/>
              </w:rPr>
              <w:t>UoDE</w:t>
            </w:r>
            <w:proofErr w:type="spellEnd"/>
            <w:r w:rsidRPr="00B20579">
              <w:rPr>
                <w:i/>
                <w:iCs/>
                <w:spacing w:val="6"/>
                <w:sz w:val="20"/>
                <w:szCs w:val="20"/>
              </w:rPr>
              <w:t xml:space="preserve"> a podmiotami publicznymi”</w:t>
            </w:r>
            <w:r>
              <w:rPr>
                <w:i/>
                <w:iCs/>
                <w:spacing w:val="6"/>
                <w:sz w:val="20"/>
                <w:szCs w:val="20"/>
              </w:rPr>
              <w:t xml:space="preserve"> </w:t>
            </w:r>
            <w:r w:rsidRPr="00B20579">
              <w:rPr>
                <w:spacing w:val="6"/>
                <w:sz w:val="20"/>
                <w:szCs w:val="20"/>
              </w:rPr>
              <w:t>to celowym również byłoby wskazanie pożądanego zachowania organu w przypadku braku</w:t>
            </w:r>
          </w:p>
          <w:p w14:paraId="7B2862A9" w14:textId="77777777" w:rsidR="00CE213A" w:rsidRDefault="00CE213A" w:rsidP="00CE213A">
            <w:pPr>
              <w:rPr>
                <w:spacing w:val="6"/>
                <w:sz w:val="20"/>
                <w:szCs w:val="20"/>
              </w:rPr>
            </w:pPr>
            <w:r w:rsidRPr="00B20579">
              <w:rPr>
                <w:spacing w:val="6"/>
                <w:sz w:val="20"/>
                <w:szCs w:val="20"/>
              </w:rPr>
              <w:t>zastosowania się do wprowadzanej normy lub wskazania sankcji. Obecnie powszechną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B20579">
              <w:rPr>
                <w:spacing w:val="6"/>
                <w:sz w:val="20"/>
                <w:szCs w:val="20"/>
              </w:rPr>
              <w:t>praktyką jest wnoszenie pism w postępowaniu administracyjnym w postaci papierowej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B20579">
              <w:rPr>
                <w:spacing w:val="6"/>
                <w:sz w:val="20"/>
                <w:szCs w:val="20"/>
              </w:rPr>
              <w:t>więc nie trudno wyobrazić sobie sytuację, gdy już po wejściu w życie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B20579">
              <w:rPr>
                <w:spacing w:val="6"/>
                <w:sz w:val="20"/>
                <w:szCs w:val="20"/>
              </w:rPr>
              <w:t>ustawy pismo/podanie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B20579">
              <w:rPr>
                <w:spacing w:val="6"/>
                <w:sz w:val="20"/>
                <w:szCs w:val="20"/>
              </w:rPr>
              <w:t>zostanie wniesione do urzędu przez profesjonalnego pełnomocnika na piśmie.</w:t>
            </w:r>
          </w:p>
          <w:p w14:paraId="4E2EB0A1" w14:textId="44FBC303" w:rsidR="00CE213A" w:rsidRPr="006466AE" w:rsidRDefault="00CE213A" w:rsidP="00CE213A">
            <w:pPr>
              <w:rPr>
                <w:spacing w:val="6"/>
                <w:sz w:val="20"/>
                <w:szCs w:val="20"/>
              </w:rPr>
            </w:pPr>
            <w:r w:rsidRPr="00B20579">
              <w:rPr>
                <w:spacing w:val="6"/>
                <w:sz w:val="20"/>
                <w:szCs w:val="20"/>
              </w:rPr>
              <w:t>W projekcie celowym byłoby już na tym etapie przesądzenie o zachowaniu organu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B20579">
              <w:rPr>
                <w:spacing w:val="6"/>
                <w:sz w:val="20"/>
                <w:szCs w:val="20"/>
              </w:rPr>
              <w:t>stosującego ustawę z dnia 14 czerwca 1960 r. – Kodeks postępowania administracyjnego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B20579">
              <w:rPr>
                <w:spacing w:val="6"/>
                <w:sz w:val="20"/>
                <w:szCs w:val="20"/>
              </w:rPr>
              <w:t>(Dz. U. z 2025 r. poz. 1691) w takiej sytuacji na wzór szczegółowego uregulowania zawartego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B20579">
              <w:rPr>
                <w:spacing w:val="6"/>
                <w:sz w:val="20"/>
                <w:szCs w:val="20"/>
              </w:rPr>
              <w:t xml:space="preserve">w art. 63 § 1 </w:t>
            </w:r>
            <w:proofErr w:type="spellStart"/>
            <w:r w:rsidRPr="00B20579">
              <w:rPr>
                <w:spacing w:val="6"/>
                <w:sz w:val="20"/>
                <w:szCs w:val="20"/>
              </w:rPr>
              <w:t>zd</w:t>
            </w:r>
            <w:proofErr w:type="spellEnd"/>
            <w:r w:rsidRPr="00B20579">
              <w:rPr>
                <w:spacing w:val="6"/>
                <w:sz w:val="20"/>
                <w:szCs w:val="20"/>
              </w:rPr>
              <w:t>. 3 KPA dotyczącego podania wniesionego na adres poczty elektronicznej.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B20579">
              <w:rPr>
                <w:spacing w:val="6"/>
                <w:sz w:val="20"/>
                <w:szCs w:val="20"/>
              </w:rPr>
              <w:t>W szczególności celowym jest uregulowanie czy organ administracji publicznej powinien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B20579">
              <w:rPr>
                <w:spacing w:val="6"/>
                <w:sz w:val="20"/>
                <w:szCs w:val="20"/>
              </w:rPr>
              <w:t xml:space="preserve">sytuację taką potraktować jako brak formalny i wezwać </w:t>
            </w:r>
            <w:r w:rsidRPr="00B20579">
              <w:rPr>
                <w:spacing w:val="6"/>
                <w:sz w:val="20"/>
                <w:szCs w:val="20"/>
              </w:rPr>
              <w:lastRenderedPageBreak/>
              <w:t>wnoszącego pismo zgodnie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B20579">
              <w:rPr>
                <w:spacing w:val="6"/>
                <w:sz w:val="20"/>
                <w:szCs w:val="20"/>
              </w:rPr>
              <w:t>z art. 64 § 2 KPA do jego usunięcia, czy też pozostawić podanie bez rozpoznania jak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B20579">
              <w:rPr>
                <w:spacing w:val="6"/>
                <w:sz w:val="20"/>
                <w:szCs w:val="20"/>
              </w:rPr>
              <w:t xml:space="preserve">w art. 63 § 1 </w:t>
            </w:r>
            <w:proofErr w:type="spellStart"/>
            <w:r w:rsidRPr="00B20579">
              <w:rPr>
                <w:spacing w:val="6"/>
                <w:sz w:val="20"/>
                <w:szCs w:val="20"/>
              </w:rPr>
              <w:t>zd</w:t>
            </w:r>
            <w:proofErr w:type="spellEnd"/>
            <w:r w:rsidRPr="00B20579">
              <w:rPr>
                <w:spacing w:val="6"/>
                <w:sz w:val="20"/>
                <w:szCs w:val="20"/>
              </w:rPr>
              <w:t>. 3 KPA albo zastosować inne pożądane przez ustawodawcę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B20579">
              <w:rPr>
                <w:spacing w:val="6"/>
                <w:sz w:val="20"/>
                <w:szCs w:val="20"/>
              </w:rPr>
              <w:t>rozwiązanie.</w:t>
            </w:r>
          </w:p>
        </w:tc>
        <w:tc>
          <w:tcPr>
            <w:tcW w:w="5245" w:type="dxa"/>
          </w:tcPr>
          <w:p w14:paraId="040F6CAF" w14:textId="77777777" w:rsidR="00CE213A" w:rsidRPr="00324815" w:rsidRDefault="00CE213A" w:rsidP="00CE213A">
            <w:pPr>
              <w:rPr>
                <w:b/>
                <w:bCs/>
                <w:sz w:val="20"/>
                <w:szCs w:val="20"/>
              </w:rPr>
            </w:pPr>
            <w:r w:rsidRPr="00324815">
              <w:rPr>
                <w:b/>
                <w:bCs/>
                <w:sz w:val="20"/>
                <w:szCs w:val="20"/>
              </w:rPr>
              <w:lastRenderedPageBreak/>
              <w:t>Uwaga wyjaśniona</w:t>
            </w:r>
          </w:p>
          <w:p w14:paraId="64CE79B0" w14:textId="77777777" w:rsidR="00CE213A" w:rsidRDefault="00CE213A" w:rsidP="00CE213A">
            <w:pPr>
              <w:rPr>
                <w:sz w:val="20"/>
                <w:szCs w:val="20"/>
              </w:rPr>
            </w:pPr>
          </w:p>
          <w:p w14:paraId="703AFFC1" w14:textId="2B352F4B" w:rsidR="00CE213A" w:rsidRPr="00EF4667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Zrezygnowano z regulacji</w:t>
            </w:r>
            <w:r w:rsidR="009C3F7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której dotyczy uwaga. </w:t>
            </w:r>
          </w:p>
        </w:tc>
      </w:tr>
      <w:tr w:rsidR="00CE213A" w:rsidRPr="00EF4667" w14:paraId="489DCE5F" w14:textId="77777777" w:rsidTr="00DF109E">
        <w:trPr>
          <w:jc w:val="center"/>
        </w:trPr>
        <w:tc>
          <w:tcPr>
            <w:tcW w:w="704" w:type="dxa"/>
          </w:tcPr>
          <w:p w14:paraId="50134999" w14:textId="77777777" w:rsidR="00CE213A" w:rsidRPr="00EF4667" w:rsidRDefault="00CE213A" w:rsidP="00CE213A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EFB5D95" w14:textId="77563FC5" w:rsidR="00CE213A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GUS</w:t>
            </w:r>
          </w:p>
        </w:tc>
        <w:tc>
          <w:tcPr>
            <w:tcW w:w="1417" w:type="dxa"/>
          </w:tcPr>
          <w:p w14:paraId="5C41DF4A" w14:textId="435BAAE9" w:rsidR="00CE213A" w:rsidRPr="00F95998" w:rsidRDefault="00CE213A" w:rsidP="00CE213A">
            <w:pPr>
              <w:rPr>
                <w:spacing w:val="6"/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A</w:t>
            </w:r>
            <w:r w:rsidRPr="00310FA2">
              <w:rPr>
                <w:spacing w:val="6"/>
                <w:sz w:val="20"/>
                <w:szCs w:val="20"/>
              </w:rPr>
              <w:t>rt. 1 pkt 7</w:t>
            </w:r>
          </w:p>
        </w:tc>
        <w:tc>
          <w:tcPr>
            <w:tcW w:w="5954" w:type="dxa"/>
          </w:tcPr>
          <w:p w14:paraId="29BC5472" w14:textId="77777777" w:rsidR="00CE213A" w:rsidRPr="00310FA2" w:rsidRDefault="00CE213A" w:rsidP="00CE213A">
            <w:pPr>
              <w:rPr>
                <w:rFonts w:cstheme="minorHAnsi"/>
                <w:spacing w:val="6"/>
                <w:sz w:val="20"/>
                <w:szCs w:val="20"/>
              </w:rPr>
            </w:pPr>
            <w:r w:rsidRPr="00310FA2">
              <w:rPr>
                <w:spacing w:val="6"/>
                <w:sz w:val="20"/>
                <w:szCs w:val="20"/>
              </w:rPr>
              <w:t xml:space="preserve">Odnośnie do krajowego rejestru urzędowego podziału terytorialnego kraju (TERYT) w art. 1 pkt 7, w zakresie: − projektowanego art. 10a ust. 3 pkt 1 lit. r – w związku ze zgłoszoną uwagą GUS do projektu ustawy z dnia 21.08.2025 r. dokonano modyfikacji dotyczącej danych gromadzonych i przetwarzanych w Katalogu Podmiotów Publicznych (KPP), których źródłem jest rejestr TERYT. Zmiana ta polegała na wskazaniu oprócz identyfikatorów i nazw jednostek podziału terytorialnego oraz identyfikatorów i nazw miejscowości również „identyfikacji adresowej ulic, nieruchomości, budynków i mieszkań”. Określenie to nie współgra z pozostałymi danymi z rejestru TERYT, które mają być ujęte w KPP, gdyż odnosi się do nazwy jednego z systemów (NOBC) wchodzącego w skład rejestru TERYT. System ten nie zawiera adresów budynków innych niż budynki z mieszkaniami (tj. nie zawiera adresów budynków będących w obszarze zainteresowania KPP). Ponadto dane z tego systemu nie są aktualnie udostępniane za pomocą usług sieciowych, co uniemożliwia ich automatyczne przekazywanie do KPP, za pośrednictwem interfejsu programistycznego aplikacji systemu, zgodnie z projektowanym art. 10b pkt 2 lit. c. Tym samym przywołanie tego systemu w projekcie ustawy w kontekście wykorzystania w KPP danych zawartych w tym systemie w ocenie GUS nie jest właściwe. Do oznaczenia pełnego adresu podmiotów publicznych lub niepublicznych realizujących zadania publiczne (poza danymi wymienionymi w projektowanym art. 10a ust. 3 pkt 1) lit. p i q, powinny zostać wymienione nazwy ulic i ich identyfikatory gromadzone w Centralnym Katalogu Ulic, który również jest częścią rejestru TERYT i który, razem z systemem identyfikatorów i nazw jednostek podziału terytorialnego (TERC) oraz z systemem identyfikatorów i nazw miejscowości (SIMC), jest wykorzystywany w innych rejestrach i systemach informacyjnych administracji publicznej do kodowania adresów. Proponujemy zatem w projektowanym art. 10a ust. 3 pkt 1 w części odnoszącej się do danych pochodzących z rejestru </w:t>
            </w:r>
            <w:r w:rsidRPr="00310FA2">
              <w:rPr>
                <w:rFonts w:cstheme="minorHAnsi"/>
                <w:spacing w:val="6"/>
                <w:sz w:val="20"/>
                <w:szCs w:val="20"/>
              </w:rPr>
              <w:t>TERYT następujące brzmienie:</w:t>
            </w:r>
          </w:p>
          <w:p w14:paraId="390052CF" w14:textId="77777777" w:rsidR="00CE213A" w:rsidRPr="00310FA2" w:rsidRDefault="00CE213A" w:rsidP="00CE213A">
            <w:pPr>
              <w:rPr>
                <w:rFonts w:cstheme="minorHAnsi"/>
                <w:spacing w:val="6"/>
                <w:sz w:val="20"/>
                <w:szCs w:val="20"/>
              </w:rPr>
            </w:pPr>
            <w:r w:rsidRPr="00310FA2">
              <w:rPr>
                <w:rFonts w:cstheme="minorHAnsi"/>
                <w:spacing w:val="6"/>
                <w:sz w:val="20"/>
                <w:szCs w:val="20"/>
              </w:rPr>
              <w:t>„…</w:t>
            </w:r>
          </w:p>
          <w:p w14:paraId="5C75AE48" w14:textId="77777777" w:rsidR="00CE213A" w:rsidRPr="00310FA2" w:rsidRDefault="00CE213A" w:rsidP="00CE213A">
            <w:pPr>
              <w:numPr>
                <w:ilvl w:val="0"/>
                <w:numId w:val="11"/>
              </w:numPr>
              <w:rPr>
                <w:rFonts w:cstheme="minorHAnsi"/>
                <w:vanish/>
                <w:spacing w:val="6"/>
                <w:sz w:val="20"/>
                <w:szCs w:val="20"/>
              </w:rPr>
            </w:pPr>
          </w:p>
          <w:p w14:paraId="29ABED41" w14:textId="77777777" w:rsidR="00CE213A" w:rsidRPr="00310FA2" w:rsidRDefault="00CE213A" w:rsidP="00CE213A">
            <w:pPr>
              <w:numPr>
                <w:ilvl w:val="0"/>
                <w:numId w:val="11"/>
              </w:numPr>
              <w:rPr>
                <w:rFonts w:cstheme="minorHAnsi"/>
                <w:vanish/>
                <w:spacing w:val="6"/>
                <w:sz w:val="20"/>
                <w:szCs w:val="20"/>
              </w:rPr>
            </w:pPr>
          </w:p>
          <w:p w14:paraId="67DCB993" w14:textId="77777777" w:rsidR="00CE213A" w:rsidRPr="00310FA2" w:rsidRDefault="00CE213A" w:rsidP="00CE213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Theme="minorHAnsi" w:hAnsiTheme="minorHAnsi" w:cstheme="minorHAnsi"/>
                <w:vanish/>
                <w:sz w:val="20"/>
                <w:szCs w:val="20"/>
              </w:rPr>
            </w:pPr>
          </w:p>
          <w:p w14:paraId="19C81FD6" w14:textId="77777777" w:rsidR="00CE213A" w:rsidRPr="00310FA2" w:rsidRDefault="00CE213A" w:rsidP="00CE213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Theme="minorHAnsi" w:hAnsiTheme="minorHAnsi" w:cstheme="minorHAnsi"/>
                <w:vanish/>
                <w:sz w:val="20"/>
                <w:szCs w:val="20"/>
              </w:rPr>
            </w:pPr>
          </w:p>
          <w:p w14:paraId="2D7A09A5" w14:textId="77777777" w:rsidR="00CE213A" w:rsidRPr="00310FA2" w:rsidRDefault="00CE213A" w:rsidP="00CE213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Theme="minorHAnsi" w:hAnsiTheme="minorHAnsi" w:cstheme="minorHAnsi"/>
                <w:vanish/>
                <w:sz w:val="20"/>
                <w:szCs w:val="20"/>
              </w:rPr>
            </w:pPr>
          </w:p>
          <w:p w14:paraId="3DD0BB8F" w14:textId="77777777" w:rsidR="00CE213A" w:rsidRPr="00310FA2" w:rsidRDefault="00CE213A" w:rsidP="00CE213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Theme="minorHAnsi" w:hAnsiTheme="minorHAnsi" w:cstheme="minorHAnsi"/>
                <w:vanish/>
                <w:sz w:val="20"/>
                <w:szCs w:val="20"/>
              </w:rPr>
            </w:pPr>
          </w:p>
          <w:p w14:paraId="0BB834C5" w14:textId="77777777" w:rsidR="00CE213A" w:rsidRPr="00310FA2" w:rsidRDefault="00CE213A" w:rsidP="00CE213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Theme="minorHAnsi" w:hAnsiTheme="minorHAnsi" w:cstheme="minorHAnsi"/>
                <w:vanish/>
                <w:sz w:val="20"/>
                <w:szCs w:val="20"/>
              </w:rPr>
            </w:pPr>
          </w:p>
          <w:p w14:paraId="34CD188C" w14:textId="77777777" w:rsidR="00CE213A" w:rsidRPr="00310FA2" w:rsidRDefault="00CE213A" w:rsidP="00CE213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Theme="minorHAnsi" w:hAnsiTheme="minorHAnsi" w:cstheme="minorHAnsi"/>
                <w:vanish/>
                <w:sz w:val="20"/>
                <w:szCs w:val="20"/>
              </w:rPr>
            </w:pPr>
          </w:p>
          <w:p w14:paraId="3B33886E" w14:textId="77777777" w:rsidR="00CE213A" w:rsidRPr="00310FA2" w:rsidRDefault="00CE213A" w:rsidP="00CE213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Theme="minorHAnsi" w:hAnsiTheme="minorHAnsi" w:cstheme="minorHAnsi"/>
                <w:vanish/>
                <w:sz w:val="20"/>
                <w:szCs w:val="20"/>
              </w:rPr>
            </w:pPr>
          </w:p>
          <w:p w14:paraId="4305A812" w14:textId="77777777" w:rsidR="00CE213A" w:rsidRPr="00310FA2" w:rsidRDefault="00CE213A" w:rsidP="00CE213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Theme="minorHAnsi" w:hAnsiTheme="minorHAnsi" w:cstheme="minorHAnsi"/>
                <w:vanish/>
                <w:sz w:val="20"/>
                <w:szCs w:val="20"/>
              </w:rPr>
            </w:pPr>
          </w:p>
          <w:p w14:paraId="4B0D98A6" w14:textId="77777777" w:rsidR="00CE213A" w:rsidRPr="00310FA2" w:rsidRDefault="00CE213A" w:rsidP="00CE213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Theme="minorHAnsi" w:hAnsiTheme="minorHAnsi" w:cstheme="minorHAnsi"/>
                <w:vanish/>
                <w:sz w:val="20"/>
                <w:szCs w:val="20"/>
              </w:rPr>
            </w:pPr>
          </w:p>
          <w:p w14:paraId="63A5F789" w14:textId="77777777" w:rsidR="00CE213A" w:rsidRPr="00310FA2" w:rsidRDefault="00CE213A" w:rsidP="00CE213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Theme="minorHAnsi" w:hAnsiTheme="minorHAnsi" w:cstheme="minorHAnsi"/>
                <w:vanish/>
                <w:sz w:val="20"/>
                <w:szCs w:val="20"/>
              </w:rPr>
            </w:pPr>
          </w:p>
          <w:p w14:paraId="71163DCD" w14:textId="77777777" w:rsidR="00CE213A" w:rsidRPr="00310FA2" w:rsidRDefault="00CE213A" w:rsidP="00CE213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Theme="minorHAnsi" w:hAnsiTheme="minorHAnsi" w:cstheme="minorHAnsi"/>
                <w:vanish/>
                <w:sz w:val="20"/>
                <w:szCs w:val="20"/>
              </w:rPr>
            </w:pPr>
          </w:p>
          <w:p w14:paraId="7D4DC50D" w14:textId="77777777" w:rsidR="00CE213A" w:rsidRPr="00310FA2" w:rsidRDefault="00CE213A" w:rsidP="00CE213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Theme="minorHAnsi" w:hAnsiTheme="minorHAnsi" w:cstheme="minorHAnsi"/>
                <w:vanish/>
                <w:sz w:val="20"/>
                <w:szCs w:val="20"/>
              </w:rPr>
            </w:pPr>
          </w:p>
          <w:p w14:paraId="0C32E3E0" w14:textId="77777777" w:rsidR="00CE213A" w:rsidRPr="00310FA2" w:rsidRDefault="00CE213A" w:rsidP="00CE213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Theme="minorHAnsi" w:hAnsiTheme="minorHAnsi" w:cstheme="minorHAnsi"/>
                <w:vanish/>
                <w:sz w:val="20"/>
                <w:szCs w:val="20"/>
              </w:rPr>
            </w:pPr>
          </w:p>
          <w:p w14:paraId="175CB93B" w14:textId="77777777" w:rsidR="00CE213A" w:rsidRPr="00310FA2" w:rsidRDefault="00CE213A" w:rsidP="00CE213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Theme="minorHAnsi" w:hAnsiTheme="minorHAnsi" w:cstheme="minorHAnsi"/>
                <w:vanish/>
                <w:sz w:val="20"/>
                <w:szCs w:val="20"/>
              </w:rPr>
            </w:pPr>
          </w:p>
          <w:p w14:paraId="2B8D6D00" w14:textId="77777777" w:rsidR="00CE213A" w:rsidRPr="00310FA2" w:rsidRDefault="00CE213A" w:rsidP="00CE213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Theme="minorHAnsi" w:hAnsiTheme="minorHAnsi" w:cstheme="minorHAnsi"/>
                <w:vanish/>
                <w:sz w:val="20"/>
                <w:szCs w:val="20"/>
              </w:rPr>
            </w:pPr>
          </w:p>
          <w:p w14:paraId="6B9B546A" w14:textId="77777777" w:rsidR="00CE213A" w:rsidRPr="00310FA2" w:rsidRDefault="00CE213A" w:rsidP="00CE213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310FA2">
              <w:rPr>
                <w:rFonts w:asciiTheme="minorHAnsi" w:hAnsiTheme="minorHAnsi" w:cstheme="minorHAnsi"/>
                <w:sz w:val="20"/>
                <w:szCs w:val="20"/>
              </w:rPr>
              <w:t>identyfikatory i nazwy jednostek podziału terytorialnego,</w:t>
            </w:r>
          </w:p>
          <w:p w14:paraId="41026849" w14:textId="77777777" w:rsidR="00CE213A" w:rsidRPr="00310FA2" w:rsidRDefault="00CE213A" w:rsidP="00CE213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310FA2">
              <w:rPr>
                <w:rFonts w:asciiTheme="minorHAnsi" w:hAnsiTheme="minorHAnsi" w:cstheme="minorHAnsi"/>
                <w:sz w:val="20"/>
                <w:szCs w:val="20"/>
              </w:rPr>
              <w:t>identyfikatory i nazwy miejscowości,</w:t>
            </w:r>
          </w:p>
          <w:p w14:paraId="14678313" w14:textId="77777777" w:rsidR="00CE213A" w:rsidRPr="00310FA2" w:rsidRDefault="00CE213A" w:rsidP="00CE213A">
            <w:pPr>
              <w:pStyle w:val="Akapitzlist"/>
              <w:numPr>
                <w:ilvl w:val="0"/>
                <w:numId w:val="12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310FA2">
              <w:rPr>
                <w:rFonts w:asciiTheme="minorHAnsi" w:hAnsiTheme="minorHAnsi" w:cstheme="minorHAnsi"/>
                <w:sz w:val="20"/>
                <w:szCs w:val="20"/>
              </w:rPr>
              <w:t>nazwy ulic i ich identyfikatory,</w:t>
            </w:r>
          </w:p>
          <w:p w14:paraId="662002A1" w14:textId="621C3F79" w:rsidR="00CE213A" w:rsidRPr="007B1C07" w:rsidRDefault="00CE213A" w:rsidP="00CE213A">
            <w:pPr>
              <w:rPr>
                <w:spacing w:val="6"/>
                <w:sz w:val="20"/>
                <w:szCs w:val="20"/>
              </w:rPr>
            </w:pPr>
            <w:r w:rsidRPr="00310FA2">
              <w:rPr>
                <w:rFonts w:cstheme="minorHAnsi"/>
                <w:sz w:val="20"/>
                <w:szCs w:val="20"/>
              </w:rPr>
              <w:t>…”.</w:t>
            </w:r>
          </w:p>
        </w:tc>
        <w:tc>
          <w:tcPr>
            <w:tcW w:w="5245" w:type="dxa"/>
          </w:tcPr>
          <w:p w14:paraId="509CAEAE" w14:textId="77777777" w:rsidR="00CE213A" w:rsidRPr="00861FC1" w:rsidRDefault="00CE213A" w:rsidP="00CE213A">
            <w:pPr>
              <w:rPr>
                <w:b/>
                <w:bCs/>
                <w:sz w:val="20"/>
                <w:szCs w:val="20"/>
              </w:rPr>
            </w:pPr>
            <w:r w:rsidRPr="00861FC1">
              <w:rPr>
                <w:b/>
                <w:bCs/>
                <w:sz w:val="20"/>
                <w:szCs w:val="20"/>
              </w:rPr>
              <w:lastRenderedPageBreak/>
              <w:t xml:space="preserve">Uwaga wyjaśniona </w:t>
            </w:r>
          </w:p>
          <w:p w14:paraId="25E61ACF" w14:textId="77777777" w:rsidR="00CE213A" w:rsidRDefault="00CE213A" w:rsidP="00CE213A">
            <w:pPr>
              <w:rPr>
                <w:sz w:val="20"/>
                <w:szCs w:val="20"/>
              </w:rPr>
            </w:pPr>
          </w:p>
          <w:p w14:paraId="7511D824" w14:textId="650BB1AA" w:rsidR="00CE213A" w:rsidRPr="00EF4667" w:rsidRDefault="00CE213A" w:rsidP="003707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Przepisy dot. KPP zostały uwzględnione w </w:t>
            </w:r>
            <w:r w:rsidRPr="00915E1F">
              <w:rPr>
                <w:sz w:val="20"/>
                <w:szCs w:val="20"/>
              </w:rPr>
              <w:t>projek</w:t>
            </w:r>
            <w:r>
              <w:rPr>
                <w:sz w:val="20"/>
                <w:szCs w:val="20"/>
              </w:rPr>
              <w:t>cie</w:t>
            </w:r>
            <w:r w:rsidRPr="00915E1F">
              <w:rPr>
                <w:sz w:val="20"/>
                <w:szCs w:val="20"/>
              </w:rPr>
              <w:t xml:space="preserve"> ustawy o zmianie ustawy o usługach zaufania (projekt UC122)</w:t>
            </w:r>
            <w:r>
              <w:rPr>
                <w:sz w:val="20"/>
                <w:szCs w:val="20"/>
              </w:rPr>
              <w:t xml:space="preserve"> – w którym uwzględniono uwagi GUS.</w:t>
            </w:r>
          </w:p>
        </w:tc>
      </w:tr>
      <w:tr w:rsidR="00CE213A" w:rsidRPr="00EF4667" w14:paraId="187B49F5" w14:textId="77777777" w:rsidTr="00DF109E">
        <w:trPr>
          <w:jc w:val="center"/>
        </w:trPr>
        <w:tc>
          <w:tcPr>
            <w:tcW w:w="704" w:type="dxa"/>
          </w:tcPr>
          <w:p w14:paraId="2B0C6521" w14:textId="77777777" w:rsidR="00CE213A" w:rsidRPr="00EF4667" w:rsidRDefault="00CE213A" w:rsidP="00CE213A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5906AFF" w14:textId="38921B9A" w:rsidR="00CE213A" w:rsidRPr="007E30E3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GUS</w:t>
            </w:r>
          </w:p>
        </w:tc>
        <w:tc>
          <w:tcPr>
            <w:tcW w:w="1417" w:type="dxa"/>
          </w:tcPr>
          <w:p w14:paraId="60658177" w14:textId="251C8507" w:rsidR="00CE213A" w:rsidRPr="006943E7" w:rsidRDefault="00CE213A" w:rsidP="00CE213A">
            <w:pPr>
              <w:rPr>
                <w:spacing w:val="6"/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Art. 1 pkt 7</w:t>
            </w:r>
          </w:p>
        </w:tc>
        <w:tc>
          <w:tcPr>
            <w:tcW w:w="5954" w:type="dxa"/>
          </w:tcPr>
          <w:p w14:paraId="058FE37C" w14:textId="77777777" w:rsidR="00CE213A" w:rsidRPr="00310FA2" w:rsidRDefault="00CE213A" w:rsidP="00CE213A">
            <w:pPr>
              <w:rPr>
                <w:spacing w:val="6"/>
                <w:sz w:val="20"/>
                <w:szCs w:val="20"/>
              </w:rPr>
            </w:pPr>
            <w:r w:rsidRPr="00310FA2">
              <w:rPr>
                <w:spacing w:val="6"/>
                <w:sz w:val="20"/>
                <w:szCs w:val="20"/>
              </w:rPr>
              <w:t>Odnośnie do krajowego rejestru urzędowego podziału terytorialnego kraju (TERYT), w art. 1 pkt 7, w zakresie projektowanego art. 10b – zgodnie z odniesieniem do zgłoszonej przez GUS uwagi dotyczącej wprowadzenia do wyliczenia, wprowadzenie do wyliczenia w art. 10b miało zostać przeredagowane i otrzymać brzmienie:</w:t>
            </w:r>
          </w:p>
          <w:p w14:paraId="7C16CB95" w14:textId="77777777" w:rsidR="00CE213A" w:rsidRPr="00310FA2" w:rsidRDefault="00CE213A" w:rsidP="00CE213A">
            <w:pPr>
              <w:rPr>
                <w:spacing w:val="6"/>
                <w:sz w:val="20"/>
                <w:szCs w:val="20"/>
              </w:rPr>
            </w:pPr>
            <w:r w:rsidRPr="00310FA2">
              <w:rPr>
                <w:spacing w:val="6"/>
                <w:sz w:val="20"/>
                <w:szCs w:val="20"/>
              </w:rPr>
              <w:t xml:space="preserve">„Do Katalogu Podmiotów Publicznych, po utworzeniu konta podmiotu, przekazywane są automatycznie, za pośrednictwem interfejsu programistycznego aplikacji danego systemu, następujące dane </w:t>
            </w:r>
            <w:r w:rsidRPr="00310FA2">
              <w:rPr>
                <w:b/>
                <w:spacing w:val="6"/>
                <w:sz w:val="20"/>
                <w:szCs w:val="20"/>
              </w:rPr>
              <w:t xml:space="preserve">dotyczące </w:t>
            </w:r>
            <w:r w:rsidRPr="00310FA2">
              <w:rPr>
                <w:spacing w:val="6"/>
                <w:sz w:val="20"/>
                <w:szCs w:val="20"/>
              </w:rPr>
              <w:t>podmiotów publicznych oraz podmiotów niepublicznych realizujących zadania publiczne:” – przeredagowanie dotyczyło dopisania w przepisie wyrazu „dotyczące”.</w:t>
            </w:r>
          </w:p>
          <w:p w14:paraId="3124A15A" w14:textId="118D1489" w:rsidR="00CE213A" w:rsidRPr="006943E7" w:rsidRDefault="00CE213A" w:rsidP="00CE213A">
            <w:pPr>
              <w:rPr>
                <w:spacing w:val="6"/>
                <w:sz w:val="20"/>
                <w:szCs w:val="20"/>
              </w:rPr>
            </w:pPr>
            <w:r w:rsidRPr="00310FA2">
              <w:rPr>
                <w:iCs/>
                <w:spacing w:val="6"/>
                <w:sz w:val="20"/>
                <w:szCs w:val="20"/>
              </w:rPr>
              <w:t xml:space="preserve">W projekcie z dnia 19.02.2026 r. nowe brzmienie wprowadzenia do wyliczenia nie zostało jednak uwzględnione. Tym samym w aktualnym projekcie rejestr TERYT pozostaje wskazanym jako jedno ze źródeł danych podmiotów publicznych i podmiotów </w:t>
            </w:r>
            <w:r w:rsidRPr="00310FA2">
              <w:rPr>
                <w:iCs/>
                <w:spacing w:val="6"/>
                <w:sz w:val="20"/>
                <w:szCs w:val="20"/>
              </w:rPr>
              <w:lastRenderedPageBreak/>
              <w:t>publicznych realizujących zadania publiczne, pomimo iż nie gromadzi danych o tych podmiotach.</w:t>
            </w:r>
          </w:p>
        </w:tc>
        <w:tc>
          <w:tcPr>
            <w:tcW w:w="5245" w:type="dxa"/>
          </w:tcPr>
          <w:p w14:paraId="0480E422" w14:textId="77777777" w:rsidR="00CE213A" w:rsidRPr="00861FC1" w:rsidRDefault="00CE213A" w:rsidP="00CE213A">
            <w:pPr>
              <w:rPr>
                <w:b/>
                <w:bCs/>
                <w:sz w:val="20"/>
                <w:szCs w:val="20"/>
              </w:rPr>
            </w:pPr>
            <w:r w:rsidRPr="00861FC1">
              <w:rPr>
                <w:b/>
                <w:bCs/>
                <w:sz w:val="20"/>
                <w:szCs w:val="20"/>
              </w:rPr>
              <w:lastRenderedPageBreak/>
              <w:t xml:space="preserve">Uwaga wyjaśniona </w:t>
            </w:r>
          </w:p>
          <w:p w14:paraId="612FD1FC" w14:textId="77777777" w:rsidR="00CE213A" w:rsidRDefault="00CE213A" w:rsidP="00CE213A">
            <w:pPr>
              <w:rPr>
                <w:sz w:val="20"/>
                <w:szCs w:val="20"/>
              </w:rPr>
            </w:pPr>
          </w:p>
          <w:p w14:paraId="654EBB7B" w14:textId="0CABACD0" w:rsidR="00CE213A" w:rsidRPr="00EF4667" w:rsidRDefault="00CE213A" w:rsidP="003707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Przepisy dot. KPP zostały uwzględnione w </w:t>
            </w:r>
            <w:r w:rsidRPr="00915E1F">
              <w:rPr>
                <w:sz w:val="20"/>
                <w:szCs w:val="20"/>
              </w:rPr>
              <w:t>projek</w:t>
            </w:r>
            <w:r>
              <w:rPr>
                <w:sz w:val="20"/>
                <w:szCs w:val="20"/>
              </w:rPr>
              <w:t>cie</w:t>
            </w:r>
            <w:r w:rsidRPr="00915E1F">
              <w:rPr>
                <w:sz w:val="20"/>
                <w:szCs w:val="20"/>
              </w:rPr>
              <w:t xml:space="preserve"> ustawy o zmianie ustawy o usługach zaufania (projekt UC122)</w:t>
            </w:r>
            <w:r>
              <w:rPr>
                <w:sz w:val="20"/>
                <w:szCs w:val="20"/>
              </w:rPr>
              <w:t xml:space="preserve"> – w którym uwzględniono uwagi GUS.</w:t>
            </w:r>
          </w:p>
        </w:tc>
      </w:tr>
      <w:tr w:rsidR="00CE213A" w:rsidRPr="00EF4667" w14:paraId="7783D39C" w14:textId="77777777" w:rsidTr="00DF109E">
        <w:trPr>
          <w:jc w:val="center"/>
        </w:trPr>
        <w:tc>
          <w:tcPr>
            <w:tcW w:w="704" w:type="dxa"/>
          </w:tcPr>
          <w:p w14:paraId="2F2CA8F8" w14:textId="77777777" w:rsidR="00CE213A" w:rsidRPr="00EF4667" w:rsidRDefault="00CE213A" w:rsidP="00CE213A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F5AFEE5" w14:textId="434588D4" w:rsidR="00CE213A" w:rsidRPr="007E30E3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GUS</w:t>
            </w:r>
          </w:p>
        </w:tc>
        <w:tc>
          <w:tcPr>
            <w:tcW w:w="1417" w:type="dxa"/>
          </w:tcPr>
          <w:p w14:paraId="40F17800" w14:textId="683374A3" w:rsidR="00CE213A" w:rsidRPr="006943E7" w:rsidRDefault="00CE213A" w:rsidP="00CE213A">
            <w:pPr>
              <w:rPr>
                <w:spacing w:val="6"/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Art. 1 pkt 7</w:t>
            </w:r>
          </w:p>
        </w:tc>
        <w:tc>
          <w:tcPr>
            <w:tcW w:w="5954" w:type="dxa"/>
          </w:tcPr>
          <w:p w14:paraId="356F9159" w14:textId="77777777" w:rsidR="00CE213A" w:rsidRPr="00310FA2" w:rsidRDefault="00CE213A" w:rsidP="00CE213A">
            <w:pPr>
              <w:rPr>
                <w:rFonts w:ascii="Calibri" w:hAnsi="Calibri" w:cs="Calibri"/>
                <w:i/>
                <w:iCs/>
                <w:spacing w:val="6"/>
                <w:sz w:val="20"/>
                <w:szCs w:val="20"/>
              </w:rPr>
            </w:pPr>
            <w:r w:rsidRPr="00310FA2">
              <w:rPr>
                <w:spacing w:val="6"/>
                <w:sz w:val="20"/>
                <w:szCs w:val="20"/>
              </w:rPr>
              <w:t xml:space="preserve">Odnośnie do krajowego rejestru urzędowego podziału </w:t>
            </w:r>
            <w:r w:rsidRPr="00310FA2">
              <w:rPr>
                <w:rFonts w:ascii="Calibri" w:hAnsi="Calibri" w:cs="Calibri"/>
                <w:spacing w:val="6"/>
                <w:sz w:val="20"/>
                <w:szCs w:val="20"/>
              </w:rPr>
              <w:t>terytorialnego kraju (TERYT), w art. 1 pkt 7, w zakresie projektowanego art. 10b pkt 2 – uwaga analogiczna jak w uwaga do art. 10a ust. 3 pkt 1 lit. r; proponuje się ujednolicenie przepisów art. 10b z art. 10a w następujący sposób: „</w:t>
            </w:r>
            <w:r w:rsidRPr="00310FA2">
              <w:rPr>
                <w:rFonts w:ascii="Calibri" w:hAnsi="Calibri" w:cs="Calibri"/>
                <w:i/>
                <w:iCs/>
                <w:spacing w:val="6"/>
                <w:sz w:val="20"/>
                <w:szCs w:val="20"/>
              </w:rPr>
              <w:t>2) z krajowego rejestru urzędowego podziału terytorialnego kraju, o którym mowa w art. 47 ustawy z dnia 29 czerwca 1995 r. o statystyce publicznej:</w:t>
            </w:r>
          </w:p>
          <w:p w14:paraId="1427C45F" w14:textId="77777777" w:rsidR="00CE213A" w:rsidRPr="00310FA2" w:rsidRDefault="00CE213A" w:rsidP="00CE213A">
            <w:pPr>
              <w:rPr>
                <w:rFonts w:ascii="Calibri" w:hAnsi="Calibri" w:cs="Calibri"/>
                <w:spacing w:val="6"/>
                <w:sz w:val="20"/>
                <w:szCs w:val="20"/>
              </w:rPr>
            </w:pPr>
            <w:r w:rsidRPr="00310FA2">
              <w:rPr>
                <w:rFonts w:ascii="Calibri" w:hAnsi="Calibri" w:cs="Calibri"/>
                <w:spacing w:val="6"/>
                <w:sz w:val="20"/>
                <w:szCs w:val="20"/>
              </w:rPr>
              <w:t>„…</w:t>
            </w:r>
          </w:p>
          <w:p w14:paraId="54A53D76" w14:textId="70C3B082" w:rsidR="00CE213A" w:rsidRPr="00310FA2" w:rsidRDefault="00CE213A" w:rsidP="00CE213A">
            <w:pPr>
              <w:rPr>
                <w:rFonts w:ascii="Calibri" w:hAnsi="Calibri" w:cs="Calibri"/>
                <w:vanish/>
                <w:spacing w:val="6"/>
                <w:sz w:val="20"/>
                <w:szCs w:val="20"/>
              </w:rPr>
            </w:pPr>
            <w:r w:rsidRPr="00310FA2">
              <w:rPr>
                <w:rFonts w:ascii="Calibri" w:hAnsi="Calibri" w:cs="Calibri"/>
                <w:vanish/>
                <w:spacing w:val="6"/>
                <w:sz w:val="20"/>
                <w:szCs w:val="20"/>
              </w:rPr>
              <w:t xml:space="preserve">s) </w:t>
            </w:r>
          </w:p>
          <w:p w14:paraId="16E738FF" w14:textId="18EF8CF0" w:rsidR="00CE213A" w:rsidRPr="00310FA2" w:rsidRDefault="00CE213A" w:rsidP="00CE213A">
            <w:pPr>
              <w:rPr>
                <w:rFonts w:ascii="Calibri" w:hAnsi="Calibri" w:cs="Calibri"/>
                <w:vanish/>
                <w:spacing w:val="6"/>
                <w:sz w:val="20"/>
                <w:szCs w:val="20"/>
              </w:rPr>
            </w:pPr>
            <w:r w:rsidRPr="00310FA2">
              <w:rPr>
                <w:rFonts w:ascii="Calibri" w:hAnsi="Calibri" w:cs="Calibri"/>
                <w:vanish/>
                <w:spacing w:val="6"/>
                <w:sz w:val="20"/>
                <w:szCs w:val="20"/>
              </w:rPr>
              <w:t>t)</w:t>
            </w:r>
          </w:p>
          <w:p w14:paraId="17B4B71B" w14:textId="7DD65091" w:rsidR="00CE213A" w:rsidRPr="00310FA2" w:rsidRDefault="00CE213A" w:rsidP="00CE213A">
            <w:pPr>
              <w:rPr>
                <w:rFonts w:ascii="Calibri" w:hAnsi="Calibri" w:cs="Calibri"/>
                <w:vanish/>
                <w:spacing w:val="6"/>
                <w:sz w:val="20"/>
                <w:szCs w:val="20"/>
              </w:rPr>
            </w:pPr>
            <w:r w:rsidRPr="00310FA2">
              <w:rPr>
                <w:rFonts w:ascii="Calibri" w:hAnsi="Calibri" w:cs="Calibri"/>
                <w:vanish/>
                <w:spacing w:val="6"/>
                <w:sz w:val="20"/>
                <w:szCs w:val="20"/>
              </w:rPr>
              <w:t>u)</w:t>
            </w:r>
          </w:p>
          <w:p w14:paraId="54A02CC7" w14:textId="18B53FCA" w:rsidR="00CE213A" w:rsidRPr="00310FA2" w:rsidRDefault="00CE213A" w:rsidP="00CE213A">
            <w:pPr>
              <w:rPr>
                <w:rFonts w:ascii="Calibri" w:hAnsi="Calibri" w:cs="Calibri"/>
                <w:vanish/>
                <w:spacing w:val="6"/>
                <w:sz w:val="20"/>
                <w:szCs w:val="20"/>
              </w:rPr>
            </w:pPr>
            <w:r w:rsidRPr="00310FA2">
              <w:rPr>
                <w:rFonts w:ascii="Calibri" w:hAnsi="Calibri" w:cs="Calibri"/>
                <w:vanish/>
                <w:spacing w:val="6"/>
                <w:sz w:val="20"/>
                <w:szCs w:val="20"/>
              </w:rPr>
              <w:t>v)</w:t>
            </w:r>
          </w:p>
          <w:p w14:paraId="1311E596" w14:textId="3AEA5493" w:rsidR="00CE213A" w:rsidRPr="00310FA2" w:rsidRDefault="00CE213A" w:rsidP="00CE213A">
            <w:pPr>
              <w:rPr>
                <w:rFonts w:ascii="Calibri" w:hAnsi="Calibri" w:cs="Calibri"/>
                <w:vanish/>
                <w:spacing w:val="6"/>
                <w:sz w:val="20"/>
                <w:szCs w:val="20"/>
              </w:rPr>
            </w:pPr>
            <w:r w:rsidRPr="00310FA2">
              <w:rPr>
                <w:rFonts w:ascii="Calibri" w:hAnsi="Calibri" w:cs="Calibri"/>
                <w:vanish/>
                <w:spacing w:val="6"/>
                <w:sz w:val="20"/>
                <w:szCs w:val="20"/>
              </w:rPr>
              <w:t>w)</w:t>
            </w:r>
          </w:p>
          <w:p w14:paraId="1255CB21" w14:textId="41CDA90E" w:rsidR="00CE213A" w:rsidRPr="00310FA2" w:rsidRDefault="00CE213A" w:rsidP="00CE213A">
            <w:pPr>
              <w:rPr>
                <w:rFonts w:ascii="Calibri" w:hAnsi="Calibri" w:cs="Calibri"/>
                <w:vanish/>
                <w:spacing w:val="6"/>
                <w:sz w:val="20"/>
                <w:szCs w:val="20"/>
              </w:rPr>
            </w:pPr>
            <w:r w:rsidRPr="00310FA2">
              <w:rPr>
                <w:rFonts w:ascii="Calibri" w:hAnsi="Calibri" w:cs="Calibri"/>
                <w:vanish/>
                <w:spacing w:val="6"/>
                <w:sz w:val="20"/>
                <w:szCs w:val="20"/>
              </w:rPr>
              <w:t>x)</w:t>
            </w:r>
          </w:p>
          <w:p w14:paraId="3FBA744B" w14:textId="4257D745" w:rsidR="00CE213A" w:rsidRPr="00310FA2" w:rsidRDefault="00CE213A" w:rsidP="00CE213A">
            <w:pPr>
              <w:rPr>
                <w:rFonts w:ascii="Calibri" w:hAnsi="Calibri" w:cs="Calibri"/>
                <w:vanish/>
                <w:spacing w:val="6"/>
                <w:sz w:val="20"/>
                <w:szCs w:val="20"/>
              </w:rPr>
            </w:pPr>
            <w:r w:rsidRPr="00310FA2">
              <w:rPr>
                <w:rFonts w:ascii="Calibri" w:hAnsi="Calibri" w:cs="Calibri"/>
                <w:vanish/>
                <w:spacing w:val="6"/>
                <w:sz w:val="20"/>
                <w:szCs w:val="20"/>
              </w:rPr>
              <w:t>y)</w:t>
            </w:r>
          </w:p>
          <w:p w14:paraId="3C43E267" w14:textId="3545620B" w:rsidR="00CE213A" w:rsidRPr="00310FA2" w:rsidRDefault="00CE213A" w:rsidP="00CE213A">
            <w:pPr>
              <w:rPr>
                <w:rFonts w:ascii="Calibri" w:hAnsi="Calibri" w:cs="Calibri"/>
                <w:vanish/>
                <w:spacing w:val="6"/>
                <w:sz w:val="20"/>
                <w:szCs w:val="20"/>
              </w:rPr>
            </w:pPr>
            <w:r w:rsidRPr="00310FA2">
              <w:rPr>
                <w:rFonts w:ascii="Calibri" w:hAnsi="Calibri" w:cs="Calibri"/>
                <w:vanish/>
                <w:spacing w:val="6"/>
                <w:sz w:val="20"/>
                <w:szCs w:val="20"/>
              </w:rPr>
              <w:t>z)</w:t>
            </w:r>
          </w:p>
          <w:p w14:paraId="42276C84" w14:textId="392B799D" w:rsidR="00CE213A" w:rsidRPr="00310FA2" w:rsidRDefault="00CE213A" w:rsidP="00CE213A">
            <w:pPr>
              <w:rPr>
                <w:rFonts w:ascii="Calibri" w:hAnsi="Calibri" w:cs="Calibri"/>
                <w:vanish/>
                <w:spacing w:val="6"/>
                <w:sz w:val="20"/>
                <w:szCs w:val="20"/>
              </w:rPr>
            </w:pPr>
            <w:r w:rsidRPr="00310FA2">
              <w:rPr>
                <w:rFonts w:ascii="Calibri" w:hAnsi="Calibri" w:cs="Calibri"/>
                <w:vanish/>
                <w:spacing w:val="6"/>
                <w:sz w:val="20"/>
                <w:szCs w:val="20"/>
              </w:rPr>
              <w:t>aa)</w:t>
            </w:r>
          </w:p>
          <w:p w14:paraId="20054515" w14:textId="5B15CF9F" w:rsidR="00CE213A" w:rsidRPr="00310FA2" w:rsidRDefault="00CE213A" w:rsidP="00CE213A">
            <w:pPr>
              <w:rPr>
                <w:rFonts w:ascii="Calibri" w:hAnsi="Calibri" w:cs="Calibri"/>
                <w:vanish/>
                <w:spacing w:val="6"/>
                <w:sz w:val="20"/>
                <w:szCs w:val="20"/>
              </w:rPr>
            </w:pPr>
            <w:proofErr w:type="spellStart"/>
            <w:r w:rsidRPr="00310FA2">
              <w:rPr>
                <w:rFonts w:ascii="Calibri" w:hAnsi="Calibri" w:cs="Calibri"/>
                <w:vanish/>
                <w:spacing w:val="6"/>
                <w:sz w:val="20"/>
                <w:szCs w:val="20"/>
              </w:rPr>
              <w:t>bb</w:t>
            </w:r>
            <w:proofErr w:type="spellEnd"/>
            <w:r w:rsidRPr="00310FA2">
              <w:rPr>
                <w:rFonts w:ascii="Calibri" w:hAnsi="Calibri" w:cs="Calibri"/>
                <w:vanish/>
                <w:spacing w:val="6"/>
                <w:sz w:val="20"/>
                <w:szCs w:val="20"/>
              </w:rPr>
              <w:t>)</w:t>
            </w:r>
          </w:p>
          <w:p w14:paraId="77B869E2" w14:textId="18212916" w:rsidR="00CE213A" w:rsidRPr="00310FA2" w:rsidRDefault="00CE213A" w:rsidP="00CE213A">
            <w:pPr>
              <w:rPr>
                <w:rFonts w:ascii="Calibri" w:hAnsi="Calibri" w:cs="Calibri"/>
                <w:vanish/>
                <w:spacing w:val="6"/>
                <w:sz w:val="20"/>
                <w:szCs w:val="20"/>
              </w:rPr>
            </w:pPr>
            <w:r w:rsidRPr="00310FA2">
              <w:rPr>
                <w:rFonts w:ascii="Calibri" w:hAnsi="Calibri" w:cs="Calibri"/>
                <w:vanish/>
                <w:spacing w:val="6"/>
                <w:sz w:val="20"/>
                <w:szCs w:val="20"/>
              </w:rPr>
              <w:t>cc)</w:t>
            </w:r>
          </w:p>
          <w:p w14:paraId="56A8E3A6" w14:textId="0FDCC42B" w:rsidR="00CE213A" w:rsidRPr="00310FA2" w:rsidRDefault="00CE213A" w:rsidP="00CE213A">
            <w:pPr>
              <w:rPr>
                <w:rFonts w:ascii="Calibri" w:hAnsi="Calibri" w:cs="Calibri"/>
                <w:vanish/>
                <w:spacing w:val="6"/>
                <w:sz w:val="20"/>
                <w:szCs w:val="20"/>
              </w:rPr>
            </w:pPr>
            <w:proofErr w:type="spellStart"/>
            <w:r w:rsidRPr="00310FA2">
              <w:rPr>
                <w:rFonts w:ascii="Calibri" w:hAnsi="Calibri" w:cs="Calibri"/>
                <w:vanish/>
                <w:spacing w:val="6"/>
                <w:sz w:val="20"/>
                <w:szCs w:val="20"/>
              </w:rPr>
              <w:t>dd</w:t>
            </w:r>
            <w:proofErr w:type="spellEnd"/>
            <w:r w:rsidRPr="00310FA2">
              <w:rPr>
                <w:rFonts w:ascii="Calibri" w:hAnsi="Calibri" w:cs="Calibri"/>
                <w:vanish/>
                <w:spacing w:val="6"/>
                <w:sz w:val="20"/>
                <w:szCs w:val="20"/>
              </w:rPr>
              <w:t>)</w:t>
            </w:r>
          </w:p>
          <w:p w14:paraId="793BBB55" w14:textId="7BEAEC02" w:rsidR="00CE213A" w:rsidRPr="00310FA2" w:rsidRDefault="00CE213A" w:rsidP="00CE213A">
            <w:pPr>
              <w:rPr>
                <w:rFonts w:ascii="Calibri" w:hAnsi="Calibri" w:cs="Calibri"/>
                <w:vanish/>
                <w:spacing w:val="6"/>
                <w:sz w:val="20"/>
                <w:szCs w:val="20"/>
              </w:rPr>
            </w:pPr>
            <w:proofErr w:type="spellStart"/>
            <w:r w:rsidRPr="00310FA2">
              <w:rPr>
                <w:rFonts w:ascii="Calibri" w:hAnsi="Calibri" w:cs="Calibri"/>
                <w:vanish/>
                <w:spacing w:val="6"/>
                <w:sz w:val="20"/>
                <w:szCs w:val="20"/>
              </w:rPr>
              <w:t>ee</w:t>
            </w:r>
            <w:proofErr w:type="spellEnd"/>
            <w:r w:rsidRPr="00310FA2">
              <w:rPr>
                <w:rFonts w:ascii="Calibri" w:hAnsi="Calibri" w:cs="Calibri"/>
                <w:vanish/>
                <w:spacing w:val="6"/>
                <w:sz w:val="20"/>
                <w:szCs w:val="20"/>
              </w:rPr>
              <w:t>)</w:t>
            </w:r>
          </w:p>
          <w:p w14:paraId="344D8EA1" w14:textId="0E2F2412" w:rsidR="00CE213A" w:rsidRPr="00310FA2" w:rsidRDefault="00CE213A" w:rsidP="00CE213A">
            <w:pPr>
              <w:rPr>
                <w:rFonts w:ascii="Calibri" w:hAnsi="Calibri" w:cs="Calibri"/>
                <w:vanish/>
                <w:spacing w:val="6"/>
                <w:sz w:val="20"/>
                <w:szCs w:val="20"/>
              </w:rPr>
            </w:pPr>
            <w:proofErr w:type="spellStart"/>
            <w:r w:rsidRPr="00310FA2">
              <w:rPr>
                <w:rFonts w:ascii="Calibri" w:hAnsi="Calibri" w:cs="Calibri"/>
                <w:vanish/>
                <w:spacing w:val="6"/>
                <w:sz w:val="20"/>
                <w:szCs w:val="20"/>
              </w:rPr>
              <w:t>ff</w:t>
            </w:r>
            <w:proofErr w:type="spellEnd"/>
            <w:r w:rsidRPr="00310FA2">
              <w:rPr>
                <w:rFonts w:ascii="Calibri" w:hAnsi="Calibri" w:cs="Calibri"/>
                <w:vanish/>
                <w:spacing w:val="6"/>
                <w:sz w:val="20"/>
                <w:szCs w:val="20"/>
              </w:rPr>
              <w:t>)</w:t>
            </w:r>
          </w:p>
          <w:p w14:paraId="1FA2A49C" w14:textId="0A2247A8" w:rsidR="00CE213A" w:rsidRPr="00310FA2" w:rsidRDefault="00CE213A" w:rsidP="00CE213A">
            <w:pPr>
              <w:rPr>
                <w:rFonts w:ascii="Calibri" w:hAnsi="Calibri" w:cs="Calibri"/>
                <w:vanish/>
                <w:spacing w:val="6"/>
                <w:sz w:val="20"/>
                <w:szCs w:val="20"/>
              </w:rPr>
            </w:pPr>
            <w:proofErr w:type="spellStart"/>
            <w:r w:rsidRPr="00310FA2">
              <w:rPr>
                <w:rFonts w:ascii="Calibri" w:hAnsi="Calibri" w:cs="Calibri"/>
                <w:vanish/>
                <w:spacing w:val="6"/>
                <w:sz w:val="20"/>
                <w:szCs w:val="20"/>
              </w:rPr>
              <w:t>gg</w:t>
            </w:r>
            <w:proofErr w:type="spellEnd"/>
            <w:r w:rsidRPr="00310FA2">
              <w:rPr>
                <w:rFonts w:ascii="Calibri" w:hAnsi="Calibri" w:cs="Calibri"/>
                <w:vanish/>
                <w:spacing w:val="6"/>
                <w:sz w:val="20"/>
                <w:szCs w:val="20"/>
              </w:rPr>
              <w:t>)</w:t>
            </w:r>
          </w:p>
          <w:p w14:paraId="3D91A7EC" w14:textId="77777777" w:rsidR="00CE213A" w:rsidRPr="00310FA2" w:rsidRDefault="00CE213A" w:rsidP="00CE213A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160" w:line="259" w:lineRule="auto"/>
              <w:ind w:left="318" w:hanging="284"/>
              <w:contextualSpacing/>
              <w:rPr>
                <w:sz w:val="20"/>
                <w:szCs w:val="20"/>
              </w:rPr>
            </w:pPr>
            <w:r w:rsidRPr="00310FA2">
              <w:rPr>
                <w:sz w:val="20"/>
                <w:szCs w:val="20"/>
              </w:rPr>
              <w:t>identyfikatory i nazwy jednostek podziału terytorialnego,</w:t>
            </w:r>
          </w:p>
          <w:p w14:paraId="17E3EBDE" w14:textId="77777777" w:rsidR="00CE213A" w:rsidRPr="00310FA2" w:rsidRDefault="00CE213A" w:rsidP="00CE213A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160" w:line="259" w:lineRule="auto"/>
              <w:ind w:left="316" w:hanging="283"/>
              <w:contextualSpacing/>
              <w:rPr>
                <w:sz w:val="20"/>
                <w:szCs w:val="20"/>
              </w:rPr>
            </w:pPr>
            <w:r w:rsidRPr="00310FA2">
              <w:rPr>
                <w:sz w:val="20"/>
                <w:szCs w:val="20"/>
              </w:rPr>
              <w:t>identyfikatory i nazwy miejscowości,</w:t>
            </w:r>
          </w:p>
          <w:p w14:paraId="1DDC630A" w14:textId="77777777" w:rsidR="00CE213A" w:rsidRPr="00310FA2" w:rsidRDefault="00CE213A" w:rsidP="00CE213A">
            <w:pPr>
              <w:pStyle w:val="Akapitzlist"/>
              <w:numPr>
                <w:ilvl w:val="0"/>
                <w:numId w:val="15"/>
              </w:numPr>
              <w:spacing w:after="160" w:line="259" w:lineRule="auto"/>
              <w:ind w:left="316" w:hanging="283"/>
              <w:contextualSpacing/>
              <w:rPr>
                <w:sz w:val="20"/>
                <w:szCs w:val="20"/>
              </w:rPr>
            </w:pPr>
            <w:r w:rsidRPr="00310FA2">
              <w:rPr>
                <w:sz w:val="20"/>
                <w:szCs w:val="20"/>
              </w:rPr>
              <w:t>nazwy ulic i ich identyfikatory,</w:t>
            </w:r>
          </w:p>
          <w:p w14:paraId="0A95658E" w14:textId="2AD043BC" w:rsidR="00CE213A" w:rsidRPr="006943E7" w:rsidRDefault="00CE213A" w:rsidP="00CE213A">
            <w:pPr>
              <w:rPr>
                <w:spacing w:val="6"/>
                <w:sz w:val="20"/>
                <w:szCs w:val="20"/>
              </w:rPr>
            </w:pPr>
            <w:r w:rsidRPr="00310FA2">
              <w:rPr>
                <w:rFonts w:ascii="Calibri" w:hAnsi="Calibri" w:cs="Calibri"/>
                <w:sz w:val="20"/>
                <w:szCs w:val="20"/>
              </w:rPr>
              <w:t>…”.</w:t>
            </w:r>
          </w:p>
        </w:tc>
        <w:tc>
          <w:tcPr>
            <w:tcW w:w="5245" w:type="dxa"/>
          </w:tcPr>
          <w:p w14:paraId="7D3C0D31" w14:textId="77777777" w:rsidR="00CE213A" w:rsidRPr="00861FC1" w:rsidRDefault="00CE213A" w:rsidP="00CE213A">
            <w:pPr>
              <w:rPr>
                <w:b/>
                <w:bCs/>
                <w:sz w:val="20"/>
                <w:szCs w:val="20"/>
              </w:rPr>
            </w:pPr>
            <w:r w:rsidRPr="00861FC1">
              <w:rPr>
                <w:b/>
                <w:bCs/>
                <w:sz w:val="20"/>
                <w:szCs w:val="20"/>
              </w:rPr>
              <w:t xml:space="preserve">Uwaga wyjaśniona </w:t>
            </w:r>
          </w:p>
          <w:p w14:paraId="03D3070B" w14:textId="77777777" w:rsidR="00CE213A" w:rsidRDefault="00CE213A" w:rsidP="00CE213A">
            <w:pPr>
              <w:rPr>
                <w:sz w:val="20"/>
                <w:szCs w:val="20"/>
              </w:rPr>
            </w:pPr>
          </w:p>
          <w:p w14:paraId="51C1D662" w14:textId="77777777" w:rsidR="00CE213A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Przepisy dot. KPP zostały uwzględnione w </w:t>
            </w:r>
            <w:r w:rsidRPr="00915E1F">
              <w:rPr>
                <w:sz w:val="20"/>
                <w:szCs w:val="20"/>
              </w:rPr>
              <w:t>projek</w:t>
            </w:r>
            <w:r>
              <w:rPr>
                <w:sz w:val="20"/>
                <w:szCs w:val="20"/>
              </w:rPr>
              <w:t>cie</w:t>
            </w:r>
            <w:r w:rsidRPr="00915E1F">
              <w:rPr>
                <w:sz w:val="20"/>
                <w:szCs w:val="20"/>
              </w:rPr>
              <w:t xml:space="preserve"> ustawy o zmianie ustawy o usługach zaufania (projekt UC122)</w:t>
            </w:r>
            <w:r>
              <w:rPr>
                <w:sz w:val="20"/>
                <w:szCs w:val="20"/>
              </w:rPr>
              <w:t xml:space="preserve"> – w którym uwzględniono uwagi GUS.</w:t>
            </w:r>
          </w:p>
          <w:p w14:paraId="2065ABFD" w14:textId="77777777" w:rsidR="00CE213A" w:rsidRPr="00EF4667" w:rsidRDefault="00CE213A" w:rsidP="00CE213A">
            <w:pPr>
              <w:rPr>
                <w:sz w:val="20"/>
                <w:szCs w:val="20"/>
              </w:rPr>
            </w:pPr>
          </w:p>
        </w:tc>
      </w:tr>
      <w:tr w:rsidR="00CE213A" w:rsidRPr="00EF4667" w14:paraId="32A6008D" w14:textId="77777777" w:rsidTr="00DF109E">
        <w:trPr>
          <w:jc w:val="center"/>
        </w:trPr>
        <w:tc>
          <w:tcPr>
            <w:tcW w:w="704" w:type="dxa"/>
          </w:tcPr>
          <w:p w14:paraId="5650BF8F" w14:textId="77777777" w:rsidR="00CE213A" w:rsidRPr="00EF4667" w:rsidRDefault="00CE213A" w:rsidP="00CE213A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2D1AD7C" w14:textId="53B65CC1" w:rsidR="00CE213A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GUS</w:t>
            </w:r>
          </w:p>
        </w:tc>
        <w:tc>
          <w:tcPr>
            <w:tcW w:w="1417" w:type="dxa"/>
          </w:tcPr>
          <w:p w14:paraId="70F95465" w14:textId="4650F620" w:rsidR="00CE213A" w:rsidRDefault="00CE213A" w:rsidP="00CE213A">
            <w:pPr>
              <w:rPr>
                <w:spacing w:val="6"/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Art. 1 pkt 7</w:t>
            </w:r>
          </w:p>
        </w:tc>
        <w:tc>
          <w:tcPr>
            <w:tcW w:w="5954" w:type="dxa"/>
          </w:tcPr>
          <w:p w14:paraId="2827ABB1" w14:textId="43C6C611" w:rsidR="00CE213A" w:rsidRPr="00310FA2" w:rsidRDefault="00CE213A" w:rsidP="00CE213A">
            <w:pPr>
              <w:rPr>
                <w:spacing w:val="6"/>
                <w:sz w:val="20"/>
                <w:szCs w:val="20"/>
              </w:rPr>
            </w:pPr>
            <w:r w:rsidRPr="00310FA2">
              <w:rPr>
                <w:spacing w:val="6"/>
                <w:sz w:val="20"/>
                <w:szCs w:val="20"/>
              </w:rPr>
              <w:t xml:space="preserve">Odnośnie do krajowego rejestru urzędowego podziału terytorialnego kraju (TERYT), w art. 1 pkt 7, w zakresie projektowanego art. 10c – w uwadze zgłoszonej do projektu z dnia 21.08.2025 r. zaproponowano uwzględnienie danych pochodzących z rejestru TERYT jako danych możliwych do aktualizacji przez ministra właściwego ds. informatyzacji. W odniesieniu do uwagi Ministerstwo Cyfryzacji wskazało, że dane z rejestru TERYT będą pobierane „na bieżąco” przez ministra właściwego do spraw informatyzacji na podstawie art. 10b </w:t>
            </w:r>
            <w:r w:rsidRPr="00310FA2">
              <w:rPr>
                <w:spacing w:val="6"/>
                <w:sz w:val="20"/>
                <w:szCs w:val="20"/>
              </w:rPr>
              <w:lastRenderedPageBreak/>
              <w:t>projektowanej ustawy i nie ma konieczności zmiany art. 10c w opisanym zakresie. Wskazane działanie wydaje się jednak niewystarczające, gdyż pominięcie w tym przepisie danych z rejestru TERYT jako danych podlegających aktualizacji wskazuje, że pobieranie danych „na bieżąco” będzie dotyczyć tylko pozyskiwania plików pełnych służących do aktualizacji słowników w KPP, które będą wykorzystywane tylko do bieżącej rejestracji podmiotów, a nie aktualizacji danych adresowych podmiotów już zarejestrowanych w tym katalogu, w przypadku wprowadzenia zmian w rejestrze TERYT.</w:t>
            </w:r>
          </w:p>
        </w:tc>
        <w:tc>
          <w:tcPr>
            <w:tcW w:w="5245" w:type="dxa"/>
          </w:tcPr>
          <w:p w14:paraId="144A5FF2" w14:textId="77777777" w:rsidR="00CE213A" w:rsidRPr="00861FC1" w:rsidRDefault="00CE213A" w:rsidP="00CE213A">
            <w:pPr>
              <w:rPr>
                <w:b/>
                <w:bCs/>
                <w:sz w:val="20"/>
                <w:szCs w:val="20"/>
              </w:rPr>
            </w:pPr>
            <w:r w:rsidRPr="00861FC1">
              <w:rPr>
                <w:b/>
                <w:bCs/>
                <w:sz w:val="20"/>
                <w:szCs w:val="20"/>
              </w:rPr>
              <w:lastRenderedPageBreak/>
              <w:t xml:space="preserve">Uwaga wyjaśniona </w:t>
            </w:r>
          </w:p>
          <w:p w14:paraId="044F8170" w14:textId="77777777" w:rsidR="00CE213A" w:rsidRDefault="00CE213A" w:rsidP="00CE213A">
            <w:pPr>
              <w:rPr>
                <w:sz w:val="20"/>
                <w:szCs w:val="20"/>
              </w:rPr>
            </w:pPr>
          </w:p>
          <w:p w14:paraId="14F268AA" w14:textId="31116A2D" w:rsidR="00CE213A" w:rsidRPr="00EF4667" w:rsidRDefault="00CE213A" w:rsidP="003707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Przepisy dot. KPP zostały uwzględnione w </w:t>
            </w:r>
            <w:r w:rsidRPr="00915E1F">
              <w:rPr>
                <w:sz w:val="20"/>
                <w:szCs w:val="20"/>
              </w:rPr>
              <w:t>projek</w:t>
            </w:r>
            <w:r>
              <w:rPr>
                <w:sz w:val="20"/>
                <w:szCs w:val="20"/>
              </w:rPr>
              <w:t>cie</w:t>
            </w:r>
            <w:r w:rsidRPr="00915E1F">
              <w:rPr>
                <w:sz w:val="20"/>
                <w:szCs w:val="20"/>
              </w:rPr>
              <w:t xml:space="preserve"> ustawy o zmianie ustawy o usługach zaufania (projekt UC122)</w:t>
            </w:r>
            <w:r>
              <w:rPr>
                <w:sz w:val="20"/>
                <w:szCs w:val="20"/>
              </w:rPr>
              <w:t xml:space="preserve"> – w którym uwzględniono uwagi GUS.</w:t>
            </w:r>
          </w:p>
        </w:tc>
      </w:tr>
      <w:tr w:rsidR="00CE213A" w:rsidRPr="00EF4667" w14:paraId="30EB25DB" w14:textId="77777777" w:rsidTr="00DF109E">
        <w:trPr>
          <w:jc w:val="center"/>
        </w:trPr>
        <w:tc>
          <w:tcPr>
            <w:tcW w:w="704" w:type="dxa"/>
          </w:tcPr>
          <w:p w14:paraId="3F869370" w14:textId="77777777" w:rsidR="00CE213A" w:rsidRPr="00EF4667" w:rsidRDefault="00CE213A" w:rsidP="00CE213A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8D308B4" w14:textId="47BECA8D" w:rsidR="00CE213A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UODO</w:t>
            </w:r>
          </w:p>
        </w:tc>
        <w:tc>
          <w:tcPr>
            <w:tcW w:w="1417" w:type="dxa"/>
          </w:tcPr>
          <w:p w14:paraId="4301B323" w14:textId="5EDD6847" w:rsidR="00CE213A" w:rsidRDefault="00CE213A" w:rsidP="00CE213A">
            <w:pPr>
              <w:rPr>
                <w:spacing w:val="6"/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Art. 1 pkt 7</w:t>
            </w:r>
          </w:p>
        </w:tc>
        <w:tc>
          <w:tcPr>
            <w:tcW w:w="5954" w:type="dxa"/>
          </w:tcPr>
          <w:p w14:paraId="33422613" w14:textId="1F290ED6" w:rsidR="00CE213A" w:rsidRPr="00310FA2" w:rsidRDefault="00CE213A" w:rsidP="00CE213A">
            <w:pPr>
              <w:rPr>
                <w:spacing w:val="6"/>
                <w:sz w:val="20"/>
                <w:szCs w:val="20"/>
              </w:rPr>
            </w:pPr>
            <w:r w:rsidRPr="00612B17">
              <w:rPr>
                <w:spacing w:val="6"/>
                <w:sz w:val="20"/>
                <w:szCs w:val="20"/>
              </w:rPr>
              <w:t>Zmianą 7 po rozdziale 1 dodaje się rozdział 1a: „Katalog Podmiotów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Publicznych”, do którego organ zgłaszał swoje wątpliwości. W zakresie celu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 xml:space="preserve">przetwarzania danych w KPP przedstawione wyjaśnienie i wskazanie w </w:t>
            </w:r>
            <w:r w:rsidRPr="00612B17">
              <w:rPr>
                <w:b/>
                <w:bCs/>
                <w:spacing w:val="6"/>
                <w:sz w:val="20"/>
                <w:szCs w:val="20"/>
              </w:rPr>
              <w:t>art. 10a</w:t>
            </w:r>
            <w:r>
              <w:rPr>
                <w:b/>
                <w:bCs/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b/>
                <w:bCs/>
                <w:spacing w:val="6"/>
                <w:sz w:val="20"/>
                <w:szCs w:val="20"/>
              </w:rPr>
              <w:t xml:space="preserve">ust. 2 </w:t>
            </w:r>
            <w:r w:rsidRPr="00612B17">
              <w:rPr>
                <w:spacing w:val="6"/>
                <w:sz w:val="20"/>
                <w:szCs w:val="20"/>
              </w:rPr>
              <w:t>jako: „Prowadzenie Katalogu Podmiotów Publicznych ma na celu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gromadzenie kompletnych, aktualnych i ustandaryzowanych danych o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podmiotach publicznych i podmiotach niepublicznych realizujących zadania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publiczne.” nie jest wystarczające. Cel ten powinien być doprecyzowany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poprzez wskazanie niezbędności utworzenia KPP jest niezbędne dla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prawidłowego funkcjonowania usługi e-doręczeń. Ponadto nie jest jasne w jakim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celu konieczne, tj. niezbędne jest przetwarzanie numeru PESEL w Katalogu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Podmiotów Publicznych (m.in. osób kierujących podmiotami publicznymi i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podmiotami niepublicznych realizujących zadania publiczne lub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reprezentującymi te podmioty, administrują kontem podmiotu w Katalogu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Podmiotów Publicznych, administratora skrzynki doręczeń podmiotu). Zgodnie z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art. 6 ust. 1 lit. c rozporządzenia 2016/679 przetwarzanie jest zgodne z prawem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gdy przetwarzanie jest niezbędne do wypełnienia obowiązku prawnego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ciążącego na administratorze. Art. 5 ust. 1 lit. c ww. rozporządzenia stanowi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natomiast, że zakres przetwarzanych danych ma być adekwatny, stosowny oraz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ograniczony do tego, co niezbędne do celów w którym są przetwarzane.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 xml:space="preserve">Projektowany </w:t>
            </w:r>
            <w:r w:rsidRPr="00612B17">
              <w:rPr>
                <w:b/>
                <w:bCs/>
                <w:spacing w:val="6"/>
                <w:sz w:val="20"/>
                <w:szCs w:val="20"/>
              </w:rPr>
              <w:t xml:space="preserve">art. 10a ust. 3 pkt 2 </w:t>
            </w:r>
            <w:r w:rsidRPr="00612B17">
              <w:rPr>
                <w:spacing w:val="6"/>
                <w:sz w:val="20"/>
                <w:szCs w:val="20"/>
              </w:rPr>
              <w:t>przewiduje gromadzenie danych osób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fizycznych kierujących podmiotami lub uprawnionych do ich reprezentacji, w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tym: imienia i nazwiska, numeru PESEL oraz służbowych danych kontaktowych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 xml:space="preserve">(telefon, e-mail, adres do doręczeń). </w:t>
            </w:r>
            <w:r w:rsidRPr="00612B17">
              <w:rPr>
                <w:b/>
                <w:bCs/>
                <w:spacing w:val="6"/>
                <w:sz w:val="20"/>
                <w:szCs w:val="20"/>
              </w:rPr>
              <w:t xml:space="preserve">Pkt 3 </w:t>
            </w:r>
            <w:r w:rsidRPr="00612B17">
              <w:rPr>
                <w:spacing w:val="6"/>
                <w:sz w:val="20"/>
                <w:szCs w:val="20"/>
              </w:rPr>
              <w:t>tego przepisu obejmuje dane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administratorów skrzynek doręczeń wraz z numerem PESEL, który identyfikuje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 xml:space="preserve">daną osobę jednoznacznie. Jego gromadzenie w </w:t>
            </w:r>
            <w:r w:rsidRPr="00612B17">
              <w:rPr>
                <w:spacing w:val="6"/>
                <w:sz w:val="20"/>
                <w:szCs w:val="20"/>
              </w:rPr>
              <w:lastRenderedPageBreak/>
              <w:t>rejestrze publicznym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dostępnym przez API (ang. Application Programming Interface; Interfejs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Programowania Aplikacji) stwarza poważne ryzyka (m.in. zagrożenie kradzieży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 xml:space="preserve">tożsamości). Projektowane rozwiązanie nie przewiduje </w:t>
            </w:r>
            <w:proofErr w:type="spellStart"/>
            <w:r w:rsidRPr="00612B17">
              <w:rPr>
                <w:spacing w:val="6"/>
                <w:sz w:val="20"/>
                <w:szCs w:val="20"/>
              </w:rPr>
              <w:t>pseudonimizacji</w:t>
            </w:r>
            <w:proofErr w:type="spellEnd"/>
            <w:r w:rsidRPr="00612B17">
              <w:rPr>
                <w:spacing w:val="6"/>
                <w:sz w:val="20"/>
                <w:szCs w:val="20"/>
              </w:rPr>
              <w:t xml:space="preserve"> ani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innych środków minimalizacji ryzyka dla tej kategorii danych. Na przetwarzanie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numeru PESEL w ten sposób i ryzyka zwracał uwagę organ nadzorczy w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dotychczasowych uwagach do projektu ustawy. W związku z realizacją już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obowiązujących i zmienianych przepisów odbywa się to i będzie kontynuowane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na bardzo dużą skalę, dlatego konieczne jest wprowadzenie stosownych zmian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w tym modelu.</w:t>
            </w:r>
          </w:p>
        </w:tc>
        <w:tc>
          <w:tcPr>
            <w:tcW w:w="5245" w:type="dxa"/>
          </w:tcPr>
          <w:p w14:paraId="04D82B1D" w14:textId="77777777" w:rsidR="00CE213A" w:rsidRPr="00861FC1" w:rsidRDefault="00CE213A" w:rsidP="00CE213A">
            <w:pPr>
              <w:rPr>
                <w:b/>
                <w:bCs/>
                <w:sz w:val="20"/>
                <w:szCs w:val="20"/>
              </w:rPr>
            </w:pPr>
            <w:r w:rsidRPr="00861FC1">
              <w:rPr>
                <w:b/>
                <w:bCs/>
                <w:sz w:val="20"/>
                <w:szCs w:val="20"/>
              </w:rPr>
              <w:lastRenderedPageBreak/>
              <w:t xml:space="preserve">Uwaga wyjaśniona </w:t>
            </w:r>
          </w:p>
          <w:p w14:paraId="73FA9C8C" w14:textId="77777777" w:rsidR="00CE213A" w:rsidRDefault="00CE213A" w:rsidP="00CE213A">
            <w:pPr>
              <w:rPr>
                <w:sz w:val="20"/>
                <w:szCs w:val="20"/>
              </w:rPr>
            </w:pPr>
          </w:p>
          <w:p w14:paraId="3C4A9866" w14:textId="77777777" w:rsidR="00370754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Przepisy dot. KPP zostały uwzględnione w </w:t>
            </w:r>
            <w:r w:rsidRPr="00915E1F">
              <w:rPr>
                <w:sz w:val="20"/>
                <w:szCs w:val="20"/>
              </w:rPr>
              <w:t>projek</w:t>
            </w:r>
            <w:r>
              <w:rPr>
                <w:sz w:val="20"/>
                <w:szCs w:val="20"/>
              </w:rPr>
              <w:t>cie</w:t>
            </w:r>
            <w:r w:rsidRPr="00915E1F">
              <w:rPr>
                <w:sz w:val="20"/>
                <w:szCs w:val="20"/>
              </w:rPr>
              <w:t xml:space="preserve"> ustawy o zmianie ustawy o usługach zaufania (projekt UC122)</w:t>
            </w:r>
            <w:r>
              <w:rPr>
                <w:sz w:val="20"/>
                <w:szCs w:val="20"/>
              </w:rPr>
              <w:t>.</w:t>
            </w:r>
          </w:p>
          <w:p w14:paraId="70549CB8" w14:textId="76191BC0" w:rsidR="00CE213A" w:rsidRDefault="004315A3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Zasadne jest podawanie numeru PESEL, który jest następnie wykorzystywany w zakresie procesu identyfikacji administratorów konta podmiotu publicznego.</w:t>
            </w:r>
          </w:p>
          <w:p w14:paraId="14C47C8C" w14:textId="77777777" w:rsidR="004315A3" w:rsidRPr="004315A3" w:rsidRDefault="004315A3" w:rsidP="004315A3">
            <w:pPr>
              <w:rPr>
                <w:sz w:val="20"/>
                <w:szCs w:val="20"/>
              </w:rPr>
            </w:pPr>
          </w:p>
          <w:p w14:paraId="6A787F18" w14:textId="77777777" w:rsidR="004315A3" w:rsidRDefault="004315A3" w:rsidP="004315A3">
            <w:pPr>
              <w:rPr>
                <w:sz w:val="20"/>
                <w:szCs w:val="20"/>
              </w:rPr>
            </w:pPr>
            <w:r w:rsidRPr="004315A3">
              <w:rPr>
                <w:sz w:val="20"/>
                <w:szCs w:val="20"/>
              </w:rPr>
              <w:t>Wykorzystywanie numeru PESEL jest przemyślanym i celowym działaniem. Należy bowiem wskazać, że na gruncie polskiego prawa numer PESEL to podstawowy i najważniejszy identyfikator osoby fizycznej, który uregulowany został w ustawie z dnia 24 września 2010 r. o ewidencji ludności. Identyfikator ten stanowi element szeregu dokumentów tożsamości oraz dokumentów dotyczących sytuacji prawnej lub praw przysługujących ich posiadaczowi. Zgodnie minimalnymi wymaganiami dla systemów teleinformatycznych, szerzej opisanymi w dalszej części niniejszego stanowiska, podmioty publiczne mają obowiązek stosowania numeru PESEL jako identyfikatora osoby fizycznej w prowadzonych przez siebie rejestrach publicznych. W kontekście powyższego należy wskazać, że numer PESEL jest najbardziej powszechnym i skutecznym identyfikatorem, który poza unikalną identyfikacją osoby fizycznej pozwala także na powiązanie identyfikowanej osoby z szeregiem dotyczących jej dokumentów oraz opisujących tę osobę danych, które przetwarzane są w rejestrach publicznych.</w:t>
            </w:r>
          </w:p>
          <w:p w14:paraId="3323C111" w14:textId="77777777" w:rsidR="004315A3" w:rsidRDefault="004315A3" w:rsidP="004315A3">
            <w:pPr>
              <w:rPr>
                <w:sz w:val="20"/>
                <w:szCs w:val="20"/>
              </w:rPr>
            </w:pPr>
          </w:p>
          <w:p w14:paraId="63A9CA2E" w14:textId="434B723B" w:rsidR="004315A3" w:rsidRDefault="004315A3" w:rsidP="00431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Ponadto zasadne jest zidentyfikowanie osoby</w:t>
            </w:r>
            <w:r w:rsidR="009C3F7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która będzie administratorem</w:t>
            </w:r>
            <w:r w:rsidR="009C3F7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bowiem osoba ta w imieniu podmiotu </w:t>
            </w:r>
            <w:r>
              <w:rPr>
                <w:sz w:val="20"/>
                <w:szCs w:val="20"/>
              </w:rPr>
              <w:lastRenderedPageBreak/>
              <w:t xml:space="preserve">publicznego będzie posiadała uprawnienia do zarządzania kontem tego podmiotu w KPP – w tym w zakresie wprowadzania w danych, które nie są zawarte w innych rejestrach publicznych (jak np. KRS czy BAE). </w:t>
            </w:r>
          </w:p>
          <w:p w14:paraId="319A1FE3" w14:textId="77777777" w:rsidR="004315A3" w:rsidRDefault="004315A3" w:rsidP="004315A3">
            <w:pPr>
              <w:rPr>
                <w:sz w:val="20"/>
                <w:szCs w:val="20"/>
              </w:rPr>
            </w:pPr>
          </w:p>
          <w:p w14:paraId="0BBB7103" w14:textId="69D58450" w:rsidR="004315A3" w:rsidRPr="00EF4667" w:rsidRDefault="004315A3" w:rsidP="00431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MC będzie posiadał obowiązek </w:t>
            </w:r>
            <w:r w:rsidRPr="004315A3">
              <w:rPr>
                <w:sz w:val="20"/>
                <w:szCs w:val="20"/>
              </w:rPr>
              <w:t>zapewnia ochron</w:t>
            </w:r>
            <w:r>
              <w:rPr>
                <w:sz w:val="20"/>
                <w:szCs w:val="20"/>
              </w:rPr>
              <w:t>y pr</w:t>
            </w:r>
            <w:r w:rsidRPr="004315A3">
              <w:rPr>
                <w:sz w:val="20"/>
                <w:szCs w:val="20"/>
              </w:rPr>
              <w:t>zed nieuprawnionym dostępem do Katalogu Podmiotów Publicznych</w:t>
            </w:r>
            <w:r>
              <w:rPr>
                <w:sz w:val="20"/>
                <w:szCs w:val="20"/>
              </w:rPr>
              <w:t xml:space="preserve"> oraz będzie </w:t>
            </w:r>
            <w:r w:rsidRPr="004315A3">
              <w:rPr>
                <w:sz w:val="20"/>
                <w:szCs w:val="20"/>
              </w:rPr>
              <w:t>określa</w:t>
            </w:r>
            <w:r>
              <w:rPr>
                <w:sz w:val="20"/>
                <w:szCs w:val="20"/>
              </w:rPr>
              <w:t>ł</w:t>
            </w:r>
            <w:r w:rsidRPr="004315A3">
              <w:rPr>
                <w:sz w:val="20"/>
                <w:szCs w:val="20"/>
              </w:rPr>
              <w:t xml:space="preserve"> zasady bezpieczeństwa przetwarzanych danych, w tym danych osobowych</w:t>
            </w:r>
            <w:r>
              <w:rPr>
                <w:sz w:val="20"/>
                <w:szCs w:val="20"/>
              </w:rPr>
              <w:t>.</w:t>
            </w:r>
          </w:p>
        </w:tc>
      </w:tr>
      <w:tr w:rsidR="00CE213A" w:rsidRPr="00EF4667" w14:paraId="238B623B" w14:textId="77777777" w:rsidTr="00DF109E">
        <w:trPr>
          <w:jc w:val="center"/>
        </w:trPr>
        <w:tc>
          <w:tcPr>
            <w:tcW w:w="704" w:type="dxa"/>
          </w:tcPr>
          <w:p w14:paraId="14EA7561" w14:textId="77777777" w:rsidR="00CE213A" w:rsidRPr="00EF4667" w:rsidRDefault="00CE213A" w:rsidP="00CE213A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1A5CE5A" w14:textId="2D40587F" w:rsidR="00CE213A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UODO</w:t>
            </w:r>
          </w:p>
        </w:tc>
        <w:tc>
          <w:tcPr>
            <w:tcW w:w="1417" w:type="dxa"/>
          </w:tcPr>
          <w:p w14:paraId="50EA0A71" w14:textId="18C1535C" w:rsidR="00CE213A" w:rsidRDefault="00CE213A" w:rsidP="00CE213A">
            <w:pPr>
              <w:rPr>
                <w:spacing w:val="6"/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Art. 1 pkt 7</w:t>
            </w:r>
          </w:p>
        </w:tc>
        <w:tc>
          <w:tcPr>
            <w:tcW w:w="5954" w:type="dxa"/>
          </w:tcPr>
          <w:p w14:paraId="3D9F7049" w14:textId="5D640557" w:rsidR="00CE213A" w:rsidRPr="00612B17" w:rsidRDefault="00CE213A" w:rsidP="00CE213A">
            <w:pPr>
              <w:rPr>
                <w:spacing w:val="6"/>
                <w:sz w:val="20"/>
                <w:szCs w:val="20"/>
              </w:rPr>
            </w:pPr>
            <w:r w:rsidRPr="00612B17">
              <w:rPr>
                <w:b/>
                <w:bCs/>
                <w:spacing w:val="6"/>
                <w:sz w:val="20"/>
                <w:szCs w:val="20"/>
              </w:rPr>
              <w:t xml:space="preserve">Art. 10b </w:t>
            </w:r>
            <w:r w:rsidRPr="00612B17">
              <w:rPr>
                <w:spacing w:val="6"/>
                <w:sz w:val="20"/>
                <w:szCs w:val="20"/>
              </w:rPr>
              <w:t>projektu ustawy przewiduje automatyczne zasilanie KPP przez API z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 xml:space="preserve">zewnętrznych systemów, a zgodnie z </w:t>
            </w:r>
            <w:r w:rsidRPr="00612B17">
              <w:rPr>
                <w:b/>
                <w:bCs/>
                <w:spacing w:val="6"/>
                <w:sz w:val="20"/>
                <w:szCs w:val="20"/>
              </w:rPr>
              <w:t xml:space="preserve">art. 10h </w:t>
            </w:r>
            <w:r w:rsidRPr="00612B17">
              <w:rPr>
                <w:spacing w:val="6"/>
                <w:sz w:val="20"/>
                <w:szCs w:val="20"/>
              </w:rPr>
              <w:t>możliwe jest udostępnianie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danych z KPP podmiotom zewnętrznym za pośrednictwem interfejsu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programistycznego aplikacji. Powstaje pytanie o specyfikację mechanizmów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uwierzytelniania w celu wyeliminowania ryzyka nieautoryzowanego dostępu, czy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limitowanie zapytań w celu uniemożliwia systematycznego odpytywanie API w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celu zebrania pełnej bazy danych podmiotów. Projektowane przepisy nie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regulują audytu bezpieczeństwa API przed uruchomieniem produkcyjnym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(projektodawca jedynie w uzasadnieniu wspomina o przyszłym audycie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bezpieczeństwa w ramach wdrożenia KPP).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 xml:space="preserve">Projektowane </w:t>
            </w:r>
            <w:r w:rsidRPr="00612B17">
              <w:rPr>
                <w:b/>
                <w:bCs/>
                <w:spacing w:val="6"/>
                <w:sz w:val="20"/>
                <w:szCs w:val="20"/>
              </w:rPr>
              <w:t xml:space="preserve">art. 3–5 </w:t>
            </w:r>
            <w:r w:rsidRPr="00612B17">
              <w:rPr>
                <w:spacing w:val="6"/>
                <w:sz w:val="20"/>
                <w:szCs w:val="20"/>
              </w:rPr>
              <w:t xml:space="preserve">oraz </w:t>
            </w:r>
            <w:r w:rsidRPr="00612B17">
              <w:rPr>
                <w:b/>
                <w:bCs/>
                <w:spacing w:val="6"/>
                <w:sz w:val="20"/>
                <w:szCs w:val="20"/>
              </w:rPr>
              <w:t xml:space="preserve">art. 8–9 </w:t>
            </w:r>
            <w:r w:rsidRPr="00612B17">
              <w:rPr>
                <w:spacing w:val="6"/>
                <w:sz w:val="20"/>
                <w:szCs w:val="20"/>
              </w:rPr>
              <w:t>zobowiązują samorządy zawodowe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(adwokatów, radców prawnych, notariuszy, rzeczników patentowych, doradców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restrukturyzacyjnych) do udostępnienia swoich systemów informatycznych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ministrowi właściwemu do spraw informatyzacji przez API. Systemy tych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organizacji były tworzone niezależnie, w różnych technologiach i z różnymi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standardami bezpieczeństwa. Projektowane rozwiązanie wymaga stworzenia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interfejsów między systemami o nieznanym poziomie zabezpieczeń a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infrastrukturą państwową, natomiast projektowane przepisy – ograniczają się do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wprowadzenia obowiązków na administratorów z sektora samorządów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zawodowych - nie nakładają jednak żadnych minimalnych wymagań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technicznych na te systemy po stronie tych innych administratorów, nie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przewidują audytu ich bezpieczeństwa przed podłączeniem, jak również nie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określają protokołów transmisji danych. Projekt ustawy nie wymaga również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stosowania kwalifikowanych znaczników czasu (zgodnych z art. 42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 xml:space="preserve">rozporządzenia eIDAS, który </w:t>
            </w:r>
            <w:r w:rsidRPr="00612B17">
              <w:rPr>
                <w:spacing w:val="6"/>
                <w:sz w:val="20"/>
                <w:szCs w:val="20"/>
              </w:rPr>
              <w:lastRenderedPageBreak/>
              <w:t>określa wymogi dla kwalifikowanych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elektronicznych znaczników czasu dla wszystkich zdarzeń w systemie), co może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powodować ryzyka w zakresie niezgodności z wymogami regulacyjnymi/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standardów usług zaufania czy zapewnieniem bezpieczeństwa systemu.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b/>
                <w:bCs/>
                <w:spacing w:val="6"/>
                <w:sz w:val="20"/>
                <w:szCs w:val="20"/>
              </w:rPr>
              <w:t xml:space="preserve">Art. 46 ust. 3 pkt 3 </w:t>
            </w:r>
            <w:r w:rsidRPr="00612B17">
              <w:rPr>
                <w:spacing w:val="6"/>
                <w:sz w:val="20"/>
                <w:szCs w:val="20"/>
              </w:rPr>
              <w:t>projektu ustawy wprowadza obowiązek umieszczania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kodów QR na wydrukach z systemu e-doręczeń w celu weryfikacji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autentyczności przesyłki (kody QR zawierają URL do usługi weryfikacyjnej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 xml:space="preserve">operatora wyznaczonego). Istnieje jednak istotne ryzyko ataków </w:t>
            </w:r>
            <w:proofErr w:type="spellStart"/>
            <w:r w:rsidRPr="00612B17">
              <w:rPr>
                <w:spacing w:val="6"/>
                <w:sz w:val="20"/>
                <w:szCs w:val="20"/>
              </w:rPr>
              <w:t>QRishing</w:t>
            </w:r>
            <w:proofErr w:type="spellEnd"/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(</w:t>
            </w:r>
            <w:proofErr w:type="spellStart"/>
            <w:r w:rsidRPr="00612B17">
              <w:rPr>
                <w:spacing w:val="6"/>
                <w:sz w:val="20"/>
                <w:szCs w:val="20"/>
              </w:rPr>
              <w:t>phishingu</w:t>
            </w:r>
            <w:proofErr w:type="spellEnd"/>
            <w:r w:rsidRPr="00612B17">
              <w:rPr>
                <w:spacing w:val="6"/>
                <w:sz w:val="20"/>
                <w:szCs w:val="20"/>
              </w:rPr>
              <w:t xml:space="preserve"> przez kody QR) - atakujący mogą sfałszować wydruk lub podmienić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kod QR, który przekieruje odbiorcę do fałszywej strony weryfikacyjnej, zbierając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dane lub instalując złośliwe oprogramowanie. Projektowanymi przepisami – co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wymaga ponownego podkreślenia – prawodawca powinien zapewniać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bezpieczeństwo i minimalne wymagania techniczne dla usługi weryfikacyjnej.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Projekt ustawy nie nakłada obowiązku wdrożenia przez operatora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mechanizmów wykrywania sfałszowanych kodów.</w:t>
            </w:r>
          </w:p>
        </w:tc>
        <w:tc>
          <w:tcPr>
            <w:tcW w:w="5245" w:type="dxa"/>
          </w:tcPr>
          <w:p w14:paraId="2D89A3CE" w14:textId="77777777" w:rsidR="00CE213A" w:rsidRPr="00861FC1" w:rsidRDefault="00CE213A" w:rsidP="00CE213A">
            <w:pPr>
              <w:rPr>
                <w:b/>
                <w:bCs/>
                <w:sz w:val="20"/>
                <w:szCs w:val="20"/>
              </w:rPr>
            </w:pPr>
            <w:r w:rsidRPr="00861FC1">
              <w:rPr>
                <w:b/>
                <w:bCs/>
                <w:sz w:val="20"/>
                <w:szCs w:val="20"/>
              </w:rPr>
              <w:lastRenderedPageBreak/>
              <w:t xml:space="preserve">Uwaga wyjaśniona </w:t>
            </w:r>
          </w:p>
          <w:p w14:paraId="145DDF32" w14:textId="77777777" w:rsidR="00CE213A" w:rsidRDefault="00CE213A" w:rsidP="00CE213A">
            <w:pPr>
              <w:rPr>
                <w:sz w:val="20"/>
                <w:szCs w:val="20"/>
              </w:rPr>
            </w:pPr>
          </w:p>
          <w:p w14:paraId="70482DF8" w14:textId="77777777" w:rsidR="00CE213A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Przepisy dot. KPP zostały uwzględnione w </w:t>
            </w:r>
            <w:r w:rsidRPr="00915E1F">
              <w:rPr>
                <w:sz w:val="20"/>
                <w:szCs w:val="20"/>
              </w:rPr>
              <w:t>projek</w:t>
            </w:r>
            <w:r>
              <w:rPr>
                <w:sz w:val="20"/>
                <w:szCs w:val="20"/>
              </w:rPr>
              <w:t>cie</w:t>
            </w:r>
            <w:r w:rsidRPr="00915E1F">
              <w:rPr>
                <w:sz w:val="20"/>
                <w:szCs w:val="20"/>
              </w:rPr>
              <w:t xml:space="preserve"> ustawy o zmianie ustawy o usługach zaufania (projekt UC122)</w:t>
            </w:r>
            <w:r>
              <w:rPr>
                <w:sz w:val="20"/>
                <w:szCs w:val="20"/>
              </w:rPr>
              <w:t xml:space="preserve"> – w którym uwzględniono uwagi GUS.</w:t>
            </w:r>
          </w:p>
          <w:p w14:paraId="081E2D5B" w14:textId="77777777" w:rsidR="004B599F" w:rsidRDefault="004B599F" w:rsidP="00CE213A">
            <w:pPr>
              <w:rPr>
                <w:sz w:val="20"/>
                <w:szCs w:val="20"/>
              </w:rPr>
            </w:pPr>
          </w:p>
          <w:p w14:paraId="2A371436" w14:textId="77777777" w:rsidR="004B599F" w:rsidRPr="004B599F" w:rsidRDefault="004B599F" w:rsidP="004B599F">
            <w:pPr>
              <w:rPr>
                <w:spacing w:val="6"/>
                <w:sz w:val="20"/>
                <w:szCs w:val="20"/>
              </w:rPr>
            </w:pPr>
            <w:r w:rsidRPr="004B599F">
              <w:rPr>
                <w:spacing w:val="6"/>
                <w:sz w:val="20"/>
                <w:szCs w:val="20"/>
              </w:rPr>
              <w:t>Minister właściwy do spraw informatyzacji prowadzi w systemie teleinformatycznym, będący rejestrem publicznym, Katalog Podmiotów Publicznych, w którym przetwarzane są dane o podmiotach publicznych oraz zapewnia jego utrzymanie i rozwój, w tym określa zasady bezpieczeństwa przetwarzanych danych, w tym danych osobowych.</w:t>
            </w:r>
          </w:p>
          <w:p w14:paraId="470CEBFD" w14:textId="77777777" w:rsidR="004B599F" w:rsidRPr="004B599F" w:rsidRDefault="004B599F" w:rsidP="004B599F">
            <w:pPr>
              <w:rPr>
                <w:spacing w:val="6"/>
                <w:sz w:val="20"/>
                <w:szCs w:val="20"/>
              </w:rPr>
            </w:pPr>
          </w:p>
          <w:p w14:paraId="6DBE5006" w14:textId="234A647C" w:rsidR="004B599F" w:rsidRDefault="004B599F" w:rsidP="004B599F">
            <w:pPr>
              <w:rPr>
                <w:spacing w:val="6"/>
                <w:sz w:val="20"/>
                <w:szCs w:val="20"/>
              </w:rPr>
            </w:pPr>
            <w:r w:rsidRPr="004B599F">
              <w:rPr>
                <w:spacing w:val="6"/>
                <w:sz w:val="20"/>
                <w:szCs w:val="20"/>
              </w:rPr>
              <w:t>Minister właściwy do spraw informatyzacji, w drodze decyzji administracyjnej, z urzędu cofa dostęp do danych, w przypadku wystąpienia ryzyka naruszenia zasad bezpieczeństwa przetwarzania danych, przez podmiot publiczny.</w:t>
            </w:r>
          </w:p>
          <w:p w14:paraId="46DCDEEE" w14:textId="77777777" w:rsidR="00A62CB1" w:rsidRDefault="00A62CB1" w:rsidP="004B599F">
            <w:pPr>
              <w:rPr>
                <w:spacing w:val="6"/>
                <w:sz w:val="20"/>
                <w:szCs w:val="20"/>
              </w:rPr>
            </w:pPr>
          </w:p>
          <w:p w14:paraId="28A380A7" w14:textId="07D91928" w:rsidR="00CE213A" w:rsidRPr="00EF4667" w:rsidRDefault="00A62CB1" w:rsidP="00370754">
            <w:pPr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W zakresie uwagi dotyczącej umieszczania kodów QR doprecyzowano przepisy dot. usługi online udostępnionej przez OW do weryfikacji przesyłek.</w:t>
            </w:r>
          </w:p>
        </w:tc>
      </w:tr>
      <w:tr w:rsidR="00CE213A" w:rsidRPr="00EF4667" w14:paraId="3F76D6E0" w14:textId="77777777" w:rsidTr="00DF109E">
        <w:trPr>
          <w:jc w:val="center"/>
        </w:trPr>
        <w:tc>
          <w:tcPr>
            <w:tcW w:w="704" w:type="dxa"/>
          </w:tcPr>
          <w:p w14:paraId="6CF22641" w14:textId="77777777" w:rsidR="00CE213A" w:rsidRPr="00EF4667" w:rsidRDefault="00CE213A" w:rsidP="00CE213A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0B27F14" w14:textId="48007EFF" w:rsidR="00CE213A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UODO</w:t>
            </w:r>
          </w:p>
        </w:tc>
        <w:tc>
          <w:tcPr>
            <w:tcW w:w="1417" w:type="dxa"/>
          </w:tcPr>
          <w:p w14:paraId="7AC1F8A8" w14:textId="4ED34314" w:rsidR="00CE213A" w:rsidRDefault="00CE213A" w:rsidP="00CE213A">
            <w:pPr>
              <w:rPr>
                <w:spacing w:val="6"/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Art. 1 pkt 7</w:t>
            </w:r>
          </w:p>
        </w:tc>
        <w:tc>
          <w:tcPr>
            <w:tcW w:w="5954" w:type="dxa"/>
          </w:tcPr>
          <w:p w14:paraId="7E6D2F6D" w14:textId="2821DCC6" w:rsidR="00CE213A" w:rsidRPr="00A7407B" w:rsidRDefault="00CE213A" w:rsidP="00CE213A">
            <w:pPr>
              <w:rPr>
                <w:spacing w:val="6"/>
                <w:sz w:val="20"/>
                <w:szCs w:val="20"/>
              </w:rPr>
            </w:pPr>
            <w:r w:rsidRPr="00A7407B">
              <w:rPr>
                <w:spacing w:val="6"/>
                <w:sz w:val="20"/>
                <w:szCs w:val="20"/>
              </w:rPr>
              <w:t>Projektodawca uwzględnił wprawdzie uwagę organu nadzorczego dotyczącą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 xml:space="preserve">okresu przetwarzania danych osobowych, wskazując w </w:t>
            </w:r>
            <w:r w:rsidRPr="00A7407B">
              <w:rPr>
                <w:b/>
                <w:bCs/>
                <w:spacing w:val="6"/>
                <w:sz w:val="20"/>
                <w:szCs w:val="20"/>
              </w:rPr>
              <w:t xml:space="preserve">art. 10a ust. 5 </w:t>
            </w:r>
            <w:r w:rsidRPr="00A7407B">
              <w:rPr>
                <w:spacing w:val="6"/>
                <w:sz w:val="20"/>
                <w:szCs w:val="20"/>
              </w:rPr>
              <w:t>projektu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ustawy, że dane osobowe są usuwane „niezwłocznie po ich aktualizacji,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wycofaniu albo wycofaniu podmiotu", natomiast doprecyzowania wymaga czy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poprzednie dane reprezentantów są usuwane, czy tylko nadpisywane w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systemie. Zgodnie z zasadą ograniczenia przechowywania (art. 5 ust. 1 lit. e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rozporządzenia 2016/679 dane osobowe muszą być przechowywane w formie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umożliwiającej identyfikację osoby, której dane dotyczą, przez okres nie dłuższy,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niż jest to niezbędne do celów, w których dane te są przetwarzane.</w:t>
            </w:r>
          </w:p>
        </w:tc>
        <w:tc>
          <w:tcPr>
            <w:tcW w:w="5245" w:type="dxa"/>
          </w:tcPr>
          <w:p w14:paraId="287F0962" w14:textId="77777777" w:rsidR="00CE213A" w:rsidRPr="00861FC1" w:rsidRDefault="00CE213A" w:rsidP="00CE213A">
            <w:pPr>
              <w:rPr>
                <w:b/>
                <w:bCs/>
                <w:sz w:val="20"/>
                <w:szCs w:val="20"/>
              </w:rPr>
            </w:pPr>
            <w:r w:rsidRPr="00861FC1">
              <w:rPr>
                <w:b/>
                <w:bCs/>
                <w:sz w:val="20"/>
                <w:szCs w:val="20"/>
              </w:rPr>
              <w:t xml:space="preserve">Uwaga wyjaśniona </w:t>
            </w:r>
          </w:p>
          <w:p w14:paraId="2C97B20B" w14:textId="77777777" w:rsidR="00CE213A" w:rsidRDefault="00CE213A" w:rsidP="00CE213A">
            <w:pPr>
              <w:rPr>
                <w:sz w:val="20"/>
                <w:szCs w:val="20"/>
              </w:rPr>
            </w:pPr>
          </w:p>
          <w:p w14:paraId="529627BC" w14:textId="77777777" w:rsidR="00CE213A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Przepisy dot. KPP zostały uwzględnione w </w:t>
            </w:r>
            <w:r w:rsidRPr="00915E1F">
              <w:rPr>
                <w:sz w:val="20"/>
                <w:szCs w:val="20"/>
              </w:rPr>
              <w:t>projek</w:t>
            </w:r>
            <w:r>
              <w:rPr>
                <w:sz w:val="20"/>
                <w:szCs w:val="20"/>
              </w:rPr>
              <w:t>cie</w:t>
            </w:r>
            <w:r w:rsidRPr="00915E1F">
              <w:rPr>
                <w:sz w:val="20"/>
                <w:szCs w:val="20"/>
              </w:rPr>
              <w:t xml:space="preserve"> ustawy o zmianie ustawy o usługach zaufania (projekt UC122)</w:t>
            </w:r>
            <w:r>
              <w:rPr>
                <w:sz w:val="20"/>
                <w:szCs w:val="20"/>
              </w:rPr>
              <w:t xml:space="preserve"> – w którym uwzględniono uwagi GUS.</w:t>
            </w:r>
          </w:p>
          <w:p w14:paraId="628F93C2" w14:textId="77777777" w:rsidR="00CE213A" w:rsidRDefault="00CE213A" w:rsidP="00CE213A">
            <w:pPr>
              <w:rPr>
                <w:sz w:val="20"/>
                <w:szCs w:val="20"/>
              </w:rPr>
            </w:pPr>
          </w:p>
          <w:p w14:paraId="3DC1661A" w14:textId="2EA6C7D6" w:rsidR="00AE15F8" w:rsidRPr="00EF4667" w:rsidRDefault="00AE15F8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Zgodnie z brzmieniem przepisu</w:t>
            </w:r>
            <w:r w:rsidR="009C3F7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dane są „usuwane”</w:t>
            </w:r>
            <w:r w:rsidR="009C3F7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a zatem nie nadpisuje, bowiem w tym drugim przypadku dane poprzednie nie zostałyby usunięte.</w:t>
            </w:r>
          </w:p>
        </w:tc>
      </w:tr>
      <w:tr w:rsidR="00CE213A" w:rsidRPr="00EF4667" w14:paraId="519EC241" w14:textId="77777777" w:rsidTr="00DF109E">
        <w:trPr>
          <w:jc w:val="center"/>
        </w:trPr>
        <w:tc>
          <w:tcPr>
            <w:tcW w:w="704" w:type="dxa"/>
          </w:tcPr>
          <w:p w14:paraId="42857825" w14:textId="77777777" w:rsidR="00CE213A" w:rsidRPr="00EF4667" w:rsidRDefault="00CE213A" w:rsidP="00CE213A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55F018E" w14:textId="580F3588" w:rsidR="00CE213A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UODO</w:t>
            </w:r>
          </w:p>
        </w:tc>
        <w:tc>
          <w:tcPr>
            <w:tcW w:w="1417" w:type="dxa"/>
          </w:tcPr>
          <w:p w14:paraId="78CB5D74" w14:textId="41E60E44" w:rsidR="00CE213A" w:rsidRDefault="00CE213A" w:rsidP="00CE213A">
            <w:pPr>
              <w:rPr>
                <w:spacing w:val="6"/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Art. 1 pkt 7</w:t>
            </w:r>
          </w:p>
        </w:tc>
        <w:tc>
          <w:tcPr>
            <w:tcW w:w="5954" w:type="dxa"/>
          </w:tcPr>
          <w:p w14:paraId="2CCD262D" w14:textId="1B030FE6" w:rsidR="00CE213A" w:rsidRPr="00A7407B" w:rsidRDefault="00CE213A" w:rsidP="00CE213A">
            <w:pPr>
              <w:rPr>
                <w:spacing w:val="6"/>
                <w:sz w:val="20"/>
                <w:szCs w:val="20"/>
              </w:rPr>
            </w:pPr>
            <w:r w:rsidRPr="00A7407B">
              <w:rPr>
                <w:spacing w:val="6"/>
                <w:sz w:val="20"/>
                <w:szCs w:val="20"/>
              </w:rPr>
              <w:t xml:space="preserve">Zgodnie z </w:t>
            </w:r>
            <w:r w:rsidRPr="00A7407B">
              <w:rPr>
                <w:b/>
                <w:bCs/>
                <w:spacing w:val="6"/>
                <w:sz w:val="20"/>
                <w:szCs w:val="20"/>
              </w:rPr>
              <w:t xml:space="preserve">art. 10d ust. 2 </w:t>
            </w:r>
            <w:r w:rsidRPr="00A7407B">
              <w:rPr>
                <w:spacing w:val="6"/>
                <w:sz w:val="20"/>
                <w:szCs w:val="20"/>
              </w:rPr>
              <w:t>projektu ustawy minister właściwy do spraw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informatyzacji ma możliwość samodzielnego tworzenia kont podmiotów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publicznych na podstawie danych rejestrów i systemów bez wyraźnego trybu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informowania osób fizycznych, których dane (jako reprezentantów) zostaną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automatycznie zasilone do KPP. Takie rozwiązanie budzi wątpliwości jako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sprzeczne z autonomią informacyjną jednostki (oznaczającą prawo do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samodzielnego decydowania przez osobę fizyczną o ujawnianiu innym osobom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informacji jej dotyczących, a także prawo do sprawowania kontroli nad takimi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danymi, znajdującymi się w posiadaniu innych podmiotów, por. wyrok Trybunału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lastRenderedPageBreak/>
              <w:t>Konstytucyjnego z 19 lutego 2002 r., sygn. akt U 3/01). Na ryzyka związane z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centralizacją danych z różnych rejestrów publicznych organ nadzorczy zwracał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uwagę w poprzedniej opinii do projektu ustawy – pozostaje ona aktualna.</w:t>
            </w:r>
          </w:p>
        </w:tc>
        <w:tc>
          <w:tcPr>
            <w:tcW w:w="5245" w:type="dxa"/>
          </w:tcPr>
          <w:p w14:paraId="657F4C08" w14:textId="77777777" w:rsidR="00CE213A" w:rsidRPr="00861FC1" w:rsidRDefault="00CE213A" w:rsidP="00CE213A">
            <w:pPr>
              <w:rPr>
                <w:b/>
                <w:bCs/>
                <w:sz w:val="20"/>
                <w:szCs w:val="20"/>
              </w:rPr>
            </w:pPr>
            <w:r w:rsidRPr="00861FC1">
              <w:rPr>
                <w:b/>
                <w:bCs/>
                <w:sz w:val="20"/>
                <w:szCs w:val="20"/>
              </w:rPr>
              <w:lastRenderedPageBreak/>
              <w:t xml:space="preserve">Uwaga wyjaśniona </w:t>
            </w:r>
          </w:p>
          <w:p w14:paraId="5F94CEF5" w14:textId="77777777" w:rsidR="00CE213A" w:rsidRDefault="00CE213A" w:rsidP="00CE213A">
            <w:pPr>
              <w:rPr>
                <w:sz w:val="20"/>
                <w:szCs w:val="20"/>
              </w:rPr>
            </w:pPr>
          </w:p>
          <w:p w14:paraId="6AD4771A" w14:textId="77777777" w:rsidR="00CE213A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Przepisy dot. KPP zostały uwzględnione w </w:t>
            </w:r>
            <w:r w:rsidRPr="00915E1F">
              <w:rPr>
                <w:sz w:val="20"/>
                <w:szCs w:val="20"/>
              </w:rPr>
              <w:t>projek</w:t>
            </w:r>
            <w:r>
              <w:rPr>
                <w:sz w:val="20"/>
                <w:szCs w:val="20"/>
              </w:rPr>
              <w:t>cie</w:t>
            </w:r>
            <w:r w:rsidRPr="00915E1F">
              <w:rPr>
                <w:sz w:val="20"/>
                <w:szCs w:val="20"/>
              </w:rPr>
              <w:t xml:space="preserve"> ustawy o zmianie ustawy o usługach zaufania (projekt UC122)</w:t>
            </w:r>
            <w:r>
              <w:rPr>
                <w:sz w:val="20"/>
                <w:szCs w:val="20"/>
              </w:rPr>
              <w:t xml:space="preserve"> – w którym uwzględniono uwagi GUS.</w:t>
            </w:r>
          </w:p>
          <w:p w14:paraId="735E86D0" w14:textId="77777777" w:rsidR="00CE213A" w:rsidRDefault="00CE213A" w:rsidP="00CE213A">
            <w:pPr>
              <w:rPr>
                <w:sz w:val="20"/>
                <w:szCs w:val="20"/>
              </w:rPr>
            </w:pPr>
          </w:p>
          <w:p w14:paraId="60BD05F3" w14:textId="2FC2E2F4" w:rsidR="00CE213A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Utworzenie konta podmiotu publicznego jest automatyczne z uwagi na to, ż</w:t>
            </w:r>
            <w:r w:rsidR="00553B12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 wiąże się </w:t>
            </w:r>
            <w:r w:rsidR="009C3F7D">
              <w:rPr>
                <w:sz w:val="20"/>
                <w:szCs w:val="20"/>
              </w:rPr>
              <w:t xml:space="preserve">z </w:t>
            </w:r>
            <w:r>
              <w:rPr>
                <w:sz w:val="20"/>
                <w:szCs w:val="20"/>
              </w:rPr>
              <w:t>pobraniem danych z innych rejestrów</w:t>
            </w:r>
            <w:r w:rsidR="00553B12">
              <w:rPr>
                <w:sz w:val="20"/>
                <w:szCs w:val="20"/>
              </w:rPr>
              <w:t>, nie wiąże się z przetwarzaniem danych innych niż jawne na podstawie odrębnych przepisów</w:t>
            </w:r>
            <w:r>
              <w:rPr>
                <w:sz w:val="20"/>
                <w:szCs w:val="20"/>
              </w:rPr>
              <w:t xml:space="preserve">. </w:t>
            </w:r>
          </w:p>
          <w:p w14:paraId="6308001B" w14:textId="77777777" w:rsidR="00CE213A" w:rsidRDefault="00CE213A" w:rsidP="00CE213A">
            <w:pPr>
              <w:rPr>
                <w:sz w:val="20"/>
                <w:szCs w:val="20"/>
              </w:rPr>
            </w:pPr>
          </w:p>
          <w:p w14:paraId="553E49B7" w14:textId="5CA9F090" w:rsidR="00CE213A" w:rsidRPr="00EF4667" w:rsidRDefault="00CE213A" w:rsidP="003707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Do zarządzania kontem potrzebne jest konto administratora</w:t>
            </w:r>
            <w:r w:rsidR="00553B12">
              <w:rPr>
                <w:sz w:val="20"/>
                <w:szCs w:val="20"/>
              </w:rPr>
              <w:t xml:space="preserve"> podmiotu</w:t>
            </w:r>
            <w:r w:rsidR="009C3F7D">
              <w:rPr>
                <w:sz w:val="20"/>
                <w:szCs w:val="20"/>
              </w:rPr>
              <w:t>,</w:t>
            </w:r>
            <w:r w:rsidR="00553B12">
              <w:rPr>
                <w:sz w:val="20"/>
                <w:szCs w:val="20"/>
              </w:rPr>
              <w:t xml:space="preserve"> które może zostać utworzone na wniosek podmiotu</w:t>
            </w:r>
            <w:r>
              <w:rPr>
                <w:sz w:val="20"/>
                <w:szCs w:val="20"/>
              </w:rPr>
              <w:t>.</w:t>
            </w:r>
          </w:p>
        </w:tc>
      </w:tr>
      <w:tr w:rsidR="00CE213A" w:rsidRPr="00EF4667" w14:paraId="1C533179" w14:textId="77777777" w:rsidTr="00DF109E">
        <w:trPr>
          <w:jc w:val="center"/>
        </w:trPr>
        <w:tc>
          <w:tcPr>
            <w:tcW w:w="704" w:type="dxa"/>
          </w:tcPr>
          <w:p w14:paraId="156EA1D5" w14:textId="77777777" w:rsidR="00CE213A" w:rsidRPr="00EF4667" w:rsidRDefault="00CE213A" w:rsidP="00CE213A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0431902" w14:textId="1E18F4D7" w:rsidR="00CE213A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UODO</w:t>
            </w:r>
          </w:p>
        </w:tc>
        <w:tc>
          <w:tcPr>
            <w:tcW w:w="1417" w:type="dxa"/>
          </w:tcPr>
          <w:p w14:paraId="39233725" w14:textId="7C6939C4" w:rsidR="00CE213A" w:rsidRDefault="00CE213A" w:rsidP="00CE213A">
            <w:pPr>
              <w:rPr>
                <w:spacing w:val="6"/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Art. 1 pkt 7</w:t>
            </w:r>
          </w:p>
        </w:tc>
        <w:tc>
          <w:tcPr>
            <w:tcW w:w="5954" w:type="dxa"/>
          </w:tcPr>
          <w:p w14:paraId="170762FB" w14:textId="6D0935BC" w:rsidR="00CE213A" w:rsidRPr="00A7407B" w:rsidRDefault="00CE213A" w:rsidP="00CE213A">
            <w:pPr>
              <w:rPr>
                <w:spacing w:val="6"/>
                <w:sz w:val="20"/>
                <w:szCs w:val="20"/>
              </w:rPr>
            </w:pPr>
            <w:r w:rsidRPr="00A7407B">
              <w:rPr>
                <w:spacing w:val="6"/>
                <w:sz w:val="20"/>
                <w:szCs w:val="20"/>
              </w:rPr>
              <w:t xml:space="preserve">Z brzmienia projektowanego </w:t>
            </w:r>
            <w:r w:rsidRPr="00A7407B">
              <w:rPr>
                <w:b/>
                <w:bCs/>
                <w:spacing w:val="6"/>
                <w:sz w:val="20"/>
                <w:szCs w:val="20"/>
              </w:rPr>
              <w:t xml:space="preserve">art. 10d ust. 3 </w:t>
            </w:r>
            <w:r w:rsidRPr="00A7407B">
              <w:rPr>
                <w:spacing w:val="6"/>
                <w:sz w:val="20"/>
                <w:szCs w:val="20"/>
              </w:rPr>
              <w:t>wynika, że „podmiot publiczny, który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powierzył lub zlecił realizację zadania publicznego podmiotowi niepublicznemu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realizującemu zadanie publiczne jest obowiązany do złożenia wniosku o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utworzenie podmiotowi niepublicznemu realizującemu zadania publiczne konta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podmiotu w Katalogu Podmiotów Publicznych w systemie teleinformatycznym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przy użyciu którego prowadzony jest Katalog Podmiotów Publicznych z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wykorzystaniem usługi online udostępnionej przez ministra właściwego do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spraw informatyzacji. W przypadku gdy podmiot niepubliczny realizujący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zadanie publiczne jest już wpisany do Katalogu Podmiotów Publicznych to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wniosek ten jest podstawą do dokonania aktualizacji danych danego podmiotu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niepublicznego realizującego zadania publiczne.”. W ocenie organu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nadzorczego podmiot niepubliczny realizujący zadanie publiczne powinien mieć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możliwość samodzielnego złożenia wniosku. Nie powinien go w tym zakresie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zastępować podmiot publiczny, który powierzył lub zlecił realizację zadania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publicznego podmiotowi niepublicznemu, bowiem są to odrębne podmioty (nie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jest wiadome w jakim charakterze działa powierzający czy pełnomocnik oraz w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czyim imieniu podejmuje określone działania).</w:t>
            </w:r>
          </w:p>
        </w:tc>
        <w:tc>
          <w:tcPr>
            <w:tcW w:w="5245" w:type="dxa"/>
          </w:tcPr>
          <w:p w14:paraId="25054571" w14:textId="77777777" w:rsidR="00CE213A" w:rsidRPr="00861FC1" w:rsidRDefault="00CE213A" w:rsidP="00CE213A">
            <w:pPr>
              <w:rPr>
                <w:b/>
                <w:bCs/>
                <w:sz w:val="20"/>
                <w:szCs w:val="20"/>
              </w:rPr>
            </w:pPr>
            <w:r w:rsidRPr="00861FC1">
              <w:rPr>
                <w:b/>
                <w:bCs/>
                <w:sz w:val="20"/>
                <w:szCs w:val="20"/>
              </w:rPr>
              <w:t xml:space="preserve">Uwaga wyjaśniona </w:t>
            </w:r>
          </w:p>
          <w:p w14:paraId="5645D026" w14:textId="77777777" w:rsidR="00CE213A" w:rsidRDefault="00CE213A" w:rsidP="00CE213A">
            <w:pPr>
              <w:rPr>
                <w:sz w:val="20"/>
                <w:szCs w:val="20"/>
              </w:rPr>
            </w:pPr>
          </w:p>
          <w:p w14:paraId="4F4F2250" w14:textId="77777777" w:rsidR="00CE213A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Przepisy dot. KPP zostały uwzględnione w </w:t>
            </w:r>
            <w:r w:rsidRPr="00915E1F">
              <w:rPr>
                <w:sz w:val="20"/>
                <w:szCs w:val="20"/>
              </w:rPr>
              <w:t>projek</w:t>
            </w:r>
            <w:r>
              <w:rPr>
                <w:sz w:val="20"/>
                <w:szCs w:val="20"/>
              </w:rPr>
              <w:t>cie</w:t>
            </w:r>
            <w:r w:rsidRPr="00915E1F">
              <w:rPr>
                <w:sz w:val="20"/>
                <w:szCs w:val="20"/>
              </w:rPr>
              <w:t xml:space="preserve"> ustawy o zmianie ustawy o usługach zaufania (projekt UC122)</w:t>
            </w:r>
            <w:r>
              <w:rPr>
                <w:sz w:val="20"/>
                <w:szCs w:val="20"/>
              </w:rPr>
              <w:t xml:space="preserve"> – w którym uwzględniono uwagi GUS.</w:t>
            </w:r>
          </w:p>
          <w:p w14:paraId="35944EC4" w14:textId="77777777" w:rsidR="00553B12" w:rsidRDefault="00553B12" w:rsidP="00CE213A">
            <w:pPr>
              <w:rPr>
                <w:sz w:val="20"/>
                <w:szCs w:val="20"/>
              </w:rPr>
            </w:pPr>
          </w:p>
          <w:p w14:paraId="116CF72D" w14:textId="7E7EAC03" w:rsidR="00CE213A" w:rsidRPr="00EF4667" w:rsidRDefault="00553B12" w:rsidP="003707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Zrezygnowano z regulacji dotyczących podmiotów niepublicznych realizujących zadania publiczne.</w:t>
            </w:r>
          </w:p>
        </w:tc>
      </w:tr>
      <w:tr w:rsidR="00CE213A" w:rsidRPr="00EF4667" w14:paraId="45EC0161" w14:textId="77777777" w:rsidTr="00DF109E">
        <w:trPr>
          <w:jc w:val="center"/>
        </w:trPr>
        <w:tc>
          <w:tcPr>
            <w:tcW w:w="704" w:type="dxa"/>
          </w:tcPr>
          <w:p w14:paraId="5C7A5FF3" w14:textId="77777777" w:rsidR="00CE213A" w:rsidRPr="00EF4667" w:rsidRDefault="00CE213A" w:rsidP="00CE213A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DBFD906" w14:textId="29C0357D" w:rsidR="00CE213A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UKE</w:t>
            </w:r>
          </w:p>
        </w:tc>
        <w:tc>
          <w:tcPr>
            <w:tcW w:w="1417" w:type="dxa"/>
          </w:tcPr>
          <w:p w14:paraId="23F59CAA" w14:textId="5CE3E898" w:rsidR="00CE213A" w:rsidRDefault="00CE213A" w:rsidP="00CE213A">
            <w:pPr>
              <w:rPr>
                <w:spacing w:val="6"/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Art. 1 pkt 23 lit. b</w:t>
            </w:r>
          </w:p>
        </w:tc>
        <w:tc>
          <w:tcPr>
            <w:tcW w:w="5954" w:type="dxa"/>
          </w:tcPr>
          <w:p w14:paraId="2087E54D" w14:textId="0A0925D1" w:rsidR="00CE213A" w:rsidRPr="00A7407B" w:rsidRDefault="00CE213A" w:rsidP="00CE213A">
            <w:pPr>
              <w:rPr>
                <w:spacing w:val="6"/>
                <w:sz w:val="20"/>
                <w:szCs w:val="20"/>
              </w:rPr>
            </w:pPr>
            <w:r w:rsidRPr="006466AE">
              <w:rPr>
                <w:spacing w:val="6"/>
                <w:sz w:val="20"/>
                <w:szCs w:val="20"/>
              </w:rPr>
              <w:t xml:space="preserve">wątpliwości budzi projektowany ust. 2a w art. 35 UDE (art. 1 pkt 23 lit. b Projektu), zgodnie z którym doręczenie korespondencji na skrzynkę doręczeń powiązaną z adresem wykreślonym z bazy adresów elektronicznych będzie rodziło skutki prawne. W uzasadnieniu do Projektu nie wskazano przyczyn, dla których przyjęto takie rozwiązanie; </w:t>
            </w:r>
          </w:p>
        </w:tc>
        <w:tc>
          <w:tcPr>
            <w:tcW w:w="5245" w:type="dxa"/>
          </w:tcPr>
          <w:p w14:paraId="65590E5A" w14:textId="66595AA9" w:rsidR="00CE213A" w:rsidRPr="002450F5" w:rsidRDefault="00CE213A" w:rsidP="00CE213A">
            <w:pPr>
              <w:rPr>
                <w:b/>
                <w:bCs/>
                <w:sz w:val="20"/>
                <w:szCs w:val="20"/>
              </w:rPr>
            </w:pPr>
            <w:r w:rsidRPr="002450F5">
              <w:rPr>
                <w:b/>
                <w:bCs/>
                <w:sz w:val="20"/>
                <w:szCs w:val="20"/>
              </w:rPr>
              <w:t xml:space="preserve">Uwaga </w:t>
            </w:r>
            <w:r w:rsidR="000E069D" w:rsidRPr="002450F5">
              <w:rPr>
                <w:b/>
                <w:bCs/>
                <w:sz w:val="20"/>
                <w:szCs w:val="20"/>
              </w:rPr>
              <w:t>uwzględniona</w:t>
            </w:r>
          </w:p>
          <w:p w14:paraId="20F4F2BA" w14:textId="77777777" w:rsidR="00CE213A" w:rsidRDefault="00CE213A" w:rsidP="00CE213A">
            <w:pPr>
              <w:rPr>
                <w:sz w:val="20"/>
                <w:szCs w:val="20"/>
              </w:rPr>
            </w:pPr>
          </w:p>
          <w:p w14:paraId="4A829FBE" w14:textId="2F6DAD01" w:rsidR="00370754" w:rsidRDefault="000E069D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Uzasadnienie zostanie uzupełnione</w:t>
            </w:r>
          </w:p>
          <w:p w14:paraId="265B694A" w14:textId="77777777" w:rsidR="00370754" w:rsidRPr="003B2560" w:rsidRDefault="00370754" w:rsidP="00CE213A">
            <w:pPr>
              <w:rPr>
                <w:sz w:val="20"/>
                <w:szCs w:val="20"/>
              </w:rPr>
            </w:pPr>
          </w:p>
          <w:p w14:paraId="0485E345" w14:textId="77777777" w:rsidR="00CE213A" w:rsidRPr="003B2560" w:rsidRDefault="00CE213A" w:rsidP="00CE213A">
            <w:pPr>
              <w:rPr>
                <w:sz w:val="20"/>
                <w:szCs w:val="20"/>
              </w:rPr>
            </w:pPr>
            <w:r w:rsidRPr="003B2560">
              <w:rPr>
                <w:sz w:val="20"/>
                <w:szCs w:val="20"/>
              </w:rPr>
              <w:t>Celem przepisu jest zatem uniknięcie sytuacji, w której skutki doręczeń dokonanych w tym samym dniu, w którym następuje wykreślenie adresu, byłyby kwestionowane wyłącznie z przyczyn techniczno-systemowych. Rozwiązanie to chroni zasadę pewności prawa i zaufania uczestników obrotu do systemu doręczeń elektronicznych, zapewniając, że czynności dokonane w okresie „przejściowym” (do końca dnia) pozostają skuteczne prawnie.</w:t>
            </w:r>
          </w:p>
          <w:p w14:paraId="1F6C8045" w14:textId="77777777" w:rsidR="00CE213A" w:rsidRPr="003B2560" w:rsidRDefault="00CE213A" w:rsidP="00CE213A">
            <w:pPr>
              <w:rPr>
                <w:sz w:val="20"/>
                <w:szCs w:val="20"/>
              </w:rPr>
            </w:pPr>
            <w:r w:rsidRPr="003B2560">
              <w:rPr>
                <w:sz w:val="20"/>
                <w:szCs w:val="20"/>
              </w:rPr>
              <w:t xml:space="preserve">Jednocześnie należy podkreślić, że przepis nie tworzy fikcji trwałej skuteczności doręczeń po wykreśleniu adresu, lecz </w:t>
            </w:r>
            <w:r w:rsidRPr="003B2560">
              <w:rPr>
                <w:sz w:val="20"/>
                <w:szCs w:val="20"/>
              </w:rPr>
              <w:lastRenderedPageBreak/>
              <w:t>ogranicza się wyłącznie do zamknięcia skutków doręczeń dokonanych w dniu, w którym decyzja o wykreśleniu staje się wykonalna. Po tym momencie adres nie funkcjonuje już w systemie, a dalsze kierowanie korespondencji na taki adres nie wywołuje skutków prawnych.</w:t>
            </w:r>
          </w:p>
          <w:p w14:paraId="18746FA6" w14:textId="384ED14F" w:rsidR="00CE213A" w:rsidRPr="00EF4667" w:rsidRDefault="00CE213A" w:rsidP="00CE213A">
            <w:pPr>
              <w:rPr>
                <w:sz w:val="20"/>
                <w:szCs w:val="20"/>
              </w:rPr>
            </w:pPr>
            <w:r w:rsidRPr="003B2560">
              <w:rPr>
                <w:sz w:val="20"/>
                <w:szCs w:val="20"/>
              </w:rPr>
              <w:t>W konsekwencji regulacja ma charakter techniczno-porządkujący i służy eliminacji ryzyka sporów co do momentu skuteczności doręczenia w sytuacji dynamicznej zmiany statusu wpisu w bazie. Brak tej regulacji mógłby prowadzić do niepewności co do ważności doręczeń dokonanych w dniu wykreślenia adresu, mimo że systemowo mogły one zostać zrealizowane w pełni poprawnie.</w:t>
            </w:r>
          </w:p>
        </w:tc>
      </w:tr>
      <w:tr w:rsidR="00CE213A" w:rsidRPr="00EF4667" w14:paraId="0B2AC6DF" w14:textId="77777777" w:rsidTr="00DF109E">
        <w:trPr>
          <w:jc w:val="center"/>
        </w:trPr>
        <w:tc>
          <w:tcPr>
            <w:tcW w:w="704" w:type="dxa"/>
          </w:tcPr>
          <w:p w14:paraId="46600196" w14:textId="77777777" w:rsidR="00CE213A" w:rsidRPr="00EF4667" w:rsidRDefault="00CE213A" w:rsidP="00CE213A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C29B79F" w14:textId="108637BD" w:rsidR="00CE213A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UKE</w:t>
            </w:r>
          </w:p>
        </w:tc>
        <w:tc>
          <w:tcPr>
            <w:tcW w:w="1417" w:type="dxa"/>
          </w:tcPr>
          <w:p w14:paraId="177650B1" w14:textId="41B32CD8" w:rsidR="00CE213A" w:rsidRDefault="00CE213A" w:rsidP="00CE213A">
            <w:pPr>
              <w:rPr>
                <w:spacing w:val="6"/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Art. 1 pkt 25</w:t>
            </w:r>
          </w:p>
        </w:tc>
        <w:tc>
          <w:tcPr>
            <w:tcW w:w="5954" w:type="dxa"/>
          </w:tcPr>
          <w:p w14:paraId="31024894" w14:textId="1BE2F3B5" w:rsidR="00CE213A" w:rsidRPr="006466AE" w:rsidRDefault="00CE213A" w:rsidP="00CE213A">
            <w:pPr>
              <w:rPr>
                <w:spacing w:val="6"/>
                <w:sz w:val="20"/>
                <w:szCs w:val="20"/>
              </w:rPr>
            </w:pPr>
            <w:r w:rsidRPr="006466AE">
              <w:rPr>
                <w:spacing w:val="6"/>
                <w:sz w:val="20"/>
                <w:szCs w:val="20"/>
              </w:rPr>
              <w:t>niezrozumiały jest projektowany ust. 6a w art. 38 UDE. Nie jest bowiem jasne na czym ma polegać stosowanie ust. 5 do podmiotów niepublicznych realizujących zadania publiczne, skoro w przepisie tym jest mowa o podmiotach niepublicznych korzystających z publicznej usługi rejestrowanego doręczenia elektronicznego (wydaje się, że pojęcie „podmioty niepubliczne realizujące zadania publiczne” mieści się w pojęciu „podmioty niepubliczne”). Z kolei odnośnie zamieszczonego w projektowanym art. 38 ust. 6a UDE odesłania do stosowania ust. 6 wskazać należy, że ust. 6 w art. 38 UDE stanowi delegację ustawową dla ministra właściwego do spraw informatyzacji do wydania rozporządzenia;</w:t>
            </w:r>
          </w:p>
        </w:tc>
        <w:tc>
          <w:tcPr>
            <w:tcW w:w="5245" w:type="dxa"/>
          </w:tcPr>
          <w:p w14:paraId="31C3A9E7" w14:textId="77777777" w:rsidR="00CE213A" w:rsidRPr="009C5E7E" w:rsidRDefault="00CE213A" w:rsidP="00CE213A">
            <w:pPr>
              <w:rPr>
                <w:b/>
                <w:bCs/>
                <w:sz w:val="20"/>
                <w:szCs w:val="20"/>
              </w:rPr>
            </w:pPr>
            <w:r w:rsidRPr="009C5E7E">
              <w:rPr>
                <w:b/>
                <w:bCs/>
                <w:sz w:val="20"/>
                <w:szCs w:val="20"/>
              </w:rPr>
              <w:t>Uwaga wyjaśniona</w:t>
            </w:r>
          </w:p>
          <w:p w14:paraId="245451B4" w14:textId="77777777" w:rsidR="00CE213A" w:rsidRDefault="00CE213A" w:rsidP="00CE213A">
            <w:pPr>
              <w:rPr>
                <w:sz w:val="20"/>
                <w:szCs w:val="20"/>
              </w:rPr>
            </w:pPr>
          </w:p>
          <w:p w14:paraId="62E3B944" w14:textId="77777777" w:rsidR="00CE213A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Wykreślono zmianę – z uwagi na przeniesie przepisów KPP do projektu</w:t>
            </w:r>
            <w:r w:rsidRPr="00915E1F">
              <w:rPr>
                <w:sz w:val="20"/>
                <w:szCs w:val="20"/>
              </w:rPr>
              <w:t xml:space="preserve"> ustawy o zmianie ustawy o usługach zaufania (projekt UC122)</w:t>
            </w:r>
            <w:r>
              <w:rPr>
                <w:sz w:val="20"/>
                <w:szCs w:val="20"/>
              </w:rPr>
              <w:t>.</w:t>
            </w:r>
          </w:p>
          <w:p w14:paraId="3FA72B09" w14:textId="3FA27BE7" w:rsidR="0045004E" w:rsidRPr="00EF4667" w:rsidRDefault="0045004E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Ponadto zrezygnowano z regulacji dotyczących podmiotów niepublicznych realizujących zadania publiczne.</w:t>
            </w:r>
          </w:p>
        </w:tc>
      </w:tr>
      <w:tr w:rsidR="00CE213A" w:rsidRPr="00EF4667" w14:paraId="4EB24A4D" w14:textId="77777777" w:rsidTr="00DF109E">
        <w:trPr>
          <w:jc w:val="center"/>
        </w:trPr>
        <w:tc>
          <w:tcPr>
            <w:tcW w:w="704" w:type="dxa"/>
          </w:tcPr>
          <w:p w14:paraId="1FED0DB4" w14:textId="77777777" w:rsidR="00CE213A" w:rsidRPr="00EF4667" w:rsidRDefault="00CE213A" w:rsidP="00CE213A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433808A" w14:textId="4D63833E" w:rsidR="00CE213A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UKE</w:t>
            </w:r>
          </w:p>
        </w:tc>
        <w:tc>
          <w:tcPr>
            <w:tcW w:w="1417" w:type="dxa"/>
          </w:tcPr>
          <w:p w14:paraId="26D71948" w14:textId="61FF03DE" w:rsidR="00CE213A" w:rsidRDefault="00CE213A" w:rsidP="00CE213A">
            <w:pPr>
              <w:rPr>
                <w:spacing w:val="6"/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Art. 1 pkt 26</w:t>
            </w:r>
          </w:p>
        </w:tc>
        <w:tc>
          <w:tcPr>
            <w:tcW w:w="5954" w:type="dxa"/>
          </w:tcPr>
          <w:p w14:paraId="24F1AF42" w14:textId="6CAC2697" w:rsidR="00CE213A" w:rsidRPr="006466AE" w:rsidRDefault="00CE213A" w:rsidP="00CE213A">
            <w:pPr>
              <w:rPr>
                <w:spacing w:val="6"/>
                <w:sz w:val="20"/>
                <w:szCs w:val="20"/>
              </w:rPr>
            </w:pPr>
            <w:r w:rsidRPr="006466AE">
              <w:rPr>
                <w:spacing w:val="6"/>
                <w:sz w:val="20"/>
                <w:szCs w:val="20"/>
              </w:rPr>
              <w:t>proponuje się rozważenie, czy nie należy dokonać zmiany również w art. 41 ust. 1 pkt 2 UDE poprzez wskazanie, że dowód otrzymania jest wystawiany także po wpłynięciu korespondencji na adres do doręczeń elektronicznych podmiotu niepublicznego realizującego zadania publiczne;</w:t>
            </w:r>
          </w:p>
        </w:tc>
        <w:tc>
          <w:tcPr>
            <w:tcW w:w="5245" w:type="dxa"/>
          </w:tcPr>
          <w:p w14:paraId="222002A5" w14:textId="77777777" w:rsidR="00CE213A" w:rsidRPr="009C5E7E" w:rsidRDefault="00CE213A" w:rsidP="00CE213A">
            <w:pPr>
              <w:rPr>
                <w:b/>
                <w:bCs/>
                <w:sz w:val="20"/>
                <w:szCs w:val="20"/>
              </w:rPr>
            </w:pPr>
            <w:r w:rsidRPr="009C5E7E">
              <w:rPr>
                <w:b/>
                <w:bCs/>
                <w:sz w:val="20"/>
                <w:szCs w:val="20"/>
              </w:rPr>
              <w:t xml:space="preserve">Uwaga wyjaśniona </w:t>
            </w:r>
          </w:p>
          <w:p w14:paraId="06B5A3CB" w14:textId="77777777" w:rsidR="00CE213A" w:rsidRDefault="00CE213A" w:rsidP="00CE213A">
            <w:pPr>
              <w:rPr>
                <w:sz w:val="20"/>
                <w:szCs w:val="20"/>
              </w:rPr>
            </w:pPr>
          </w:p>
          <w:p w14:paraId="4EA4C6FD" w14:textId="77777777" w:rsidR="0045004E" w:rsidRPr="0045004E" w:rsidRDefault="0045004E" w:rsidP="0045004E">
            <w:pPr>
              <w:rPr>
                <w:sz w:val="20"/>
                <w:szCs w:val="20"/>
              </w:rPr>
            </w:pPr>
            <w:r w:rsidRPr="0045004E">
              <w:rPr>
                <w:sz w:val="20"/>
                <w:szCs w:val="20"/>
              </w:rPr>
              <w:t>Wykreślono zmianę – z uwagi na przeniesie przepisów KPP do projektu ustawy o zmianie ustawy o usługach zaufania (projekt UC122).</w:t>
            </w:r>
          </w:p>
          <w:p w14:paraId="66DD311E" w14:textId="2272BD5D" w:rsidR="00CE213A" w:rsidRPr="00EF4667" w:rsidRDefault="0045004E" w:rsidP="0045004E">
            <w:pPr>
              <w:rPr>
                <w:sz w:val="20"/>
                <w:szCs w:val="20"/>
              </w:rPr>
            </w:pPr>
            <w:r w:rsidRPr="0045004E">
              <w:rPr>
                <w:sz w:val="20"/>
                <w:szCs w:val="20"/>
              </w:rPr>
              <w:t>Ponadto zrezygnowano z regulacji dotyczących podmiotów niepublicznych realizujących zadania publiczne.</w:t>
            </w:r>
          </w:p>
        </w:tc>
      </w:tr>
      <w:tr w:rsidR="00CE213A" w:rsidRPr="00EF4667" w14:paraId="41F74536" w14:textId="77777777" w:rsidTr="00DF109E">
        <w:trPr>
          <w:jc w:val="center"/>
        </w:trPr>
        <w:tc>
          <w:tcPr>
            <w:tcW w:w="704" w:type="dxa"/>
          </w:tcPr>
          <w:p w14:paraId="0E961574" w14:textId="77777777" w:rsidR="00CE213A" w:rsidRPr="00EF4667" w:rsidRDefault="00CE213A" w:rsidP="00CE213A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EC1BC9D" w14:textId="0914F438" w:rsidR="00CE213A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UKE</w:t>
            </w:r>
          </w:p>
        </w:tc>
        <w:tc>
          <w:tcPr>
            <w:tcW w:w="1417" w:type="dxa"/>
          </w:tcPr>
          <w:p w14:paraId="596D92B9" w14:textId="5403D950" w:rsidR="00CE213A" w:rsidRDefault="00CE213A" w:rsidP="00CE213A">
            <w:pPr>
              <w:rPr>
                <w:spacing w:val="6"/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Art. 1 pkt 27</w:t>
            </w:r>
          </w:p>
        </w:tc>
        <w:tc>
          <w:tcPr>
            <w:tcW w:w="5954" w:type="dxa"/>
          </w:tcPr>
          <w:p w14:paraId="5BA2AC2E" w14:textId="235165C5" w:rsidR="00CE213A" w:rsidRPr="006466AE" w:rsidRDefault="00CE213A" w:rsidP="00CE213A">
            <w:pPr>
              <w:rPr>
                <w:spacing w:val="6"/>
                <w:sz w:val="20"/>
                <w:szCs w:val="20"/>
              </w:rPr>
            </w:pPr>
            <w:r w:rsidRPr="006466AE">
              <w:rPr>
                <w:spacing w:val="6"/>
                <w:sz w:val="20"/>
                <w:szCs w:val="20"/>
              </w:rPr>
              <w:t>w odniesieniu do projektowanego ust. 1a w art. 42 UDE proponuje się rozważenie, czy przepis ten nie powinien odnosić się również do terminu odebrania korespondencji przekazanej na adres do doręczeń elektronicznych podmiotu niepublicznego (terminu, o którym mowa w art. 42 ust. 1 pkt 1 UDE);</w:t>
            </w:r>
          </w:p>
        </w:tc>
        <w:tc>
          <w:tcPr>
            <w:tcW w:w="5245" w:type="dxa"/>
          </w:tcPr>
          <w:p w14:paraId="4D687733" w14:textId="42C0A388" w:rsidR="00885D3C" w:rsidRPr="009C3F7D" w:rsidRDefault="00885D3C" w:rsidP="009C3F7D">
            <w:pPr>
              <w:rPr>
                <w:b/>
                <w:bCs/>
                <w:spacing w:val="6"/>
                <w:sz w:val="20"/>
                <w:szCs w:val="20"/>
              </w:rPr>
            </w:pPr>
            <w:r w:rsidRPr="009C3F7D">
              <w:rPr>
                <w:b/>
                <w:bCs/>
                <w:spacing w:val="6"/>
                <w:sz w:val="20"/>
                <w:szCs w:val="20"/>
              </w:rPr>
              <w:t>Uwaga uwzględniona</w:t>
            </w:r>
          </w:p>
          <w:p w14:paraId="2556377B" w14:textId="77777777" w:rsidR="009C3F7D" w:rsidRPr="009C3F7D" w:rsidRDefault="009C3F7D" w:rsidP="009C3F7D">
            <w:pPr>
              <w:rPr>
                <w:spacing w:val="6"/>
                <w:sz w:val="20"/>
                <w:szCs w:val="20"/>
              </w:rPr>
            </w:pPr>
          </w:p>
          <w:p w14:paraId="3033110D" w14:textId="377FD0F3" w:rsidR="0045004E" w:rsidRPr="00885D3C" w:rsidRDefault="00885D3C" w:rsidP="00885D3C">
            <w:pPr>
              <w:rPr>
                <w:spacing w:val="6"/>
                <w:sz w:val="20"/>
                <w:szCs w:val="20"/>
              </w:rPr>
            </w:pPr>
            <w:r w:rsidRPr="00885D3C">
              <w:rPr>
                <w:spacing w:val="6"/>
                <w:sz w:val="20"/>
                <w:szCs w:val="20"/>
              </w:rPr>
              <w:t>W</w:t>
            </w:r>
            <w:r w:rsidR="0045004E" w:rsidRPr="00885D3C">
              <w:rPr>
                <w:spacing w:val="6"/>
                <w:sz w:val="20"/>
                <w:szCs w:val="20"/>
              </w:rPr>
              <w:t xml:space="preserve"> art. 42</w:t>
            </w:r>
            <w:r w:rsidRPr="00885D3C">
              <w:rPr>
                <w:spacing w:val="6"/>
                <w:sz w:val="20"/>
                <w:szCs w:val="20"/>
              </w:rPr>
              <w:t xml:space="preserve"> </w:t>
            </w:r>
            <w:r w:rsidR="0045004E" w:rsidRPr="00885D3C">
              <w:rPr>
                <w:spacing w:val="6"/>
                <w:sz w:val="20"/>
                <w:szCs w:val="20"/>
              </w:rPr>
              <w:t>po ust. 1 dodaje się ust. 1a w brzmieniu:</w:t>
            </w:r>
          </w:p>
          <w:p w14:paraId="0AB44CE9" w14:textId="04B9F43D" w:rsidR="00CE213A" w:rsidRPr="00EF4667" w:rsidRDefault="0045004E" w:rsidP="00370754">
            <w:pPr>
              <w:rPr>
                <w:sz w:val="20"/>
              </w:rPr>
            </w:pPr>
            <w:r w:rsidRPr="00885D3C">
              <w:rPr>
                <w:spacing w:val="6"/>
                <w:sz w:val="20"/>
                <w:szCs w:val="20"/>
              </w:rPr>
              <w:t xml:space="preserve">„1a. Jeżeli początkiem terminu określonego w dniach jest </w:t>
            </w:r>
            <w:r w:rsidR="00885D3C" w:rsidRPr="00885D3C">
              <w:rPr>
                <w:spacing w:val="6"/>
                <w:sz w:val="20"/>
                <w:szCs w:val="20"/>
              </w:rPr>
              <w:t>odebranie albo  wpłynięcie korespondencji</w:t>
            </w:r>
            <w:r w:rsidRPr="00885D3C">
              <w:rPr>
                <w:spacing w:val="6"/>
                <w:sz w:val="20"/>
                <w:szCs w:val="20"/>
              </w:rPr>
              <w:t xml:space="preserve">, przy obliczaniu terminu nie uwzględnia się </w:t>
            </w:r>
            <w:r w:rsidR="00885D3C" w:rsidRPr="00885D3C">
              <w:rPr>
                <w:spacing w:val="6"/>
                <w:sz w:val="20"/>
                <w:szCs w:val="20"/>
              </w:rPr>
              <w:t xml:space="preserve"> odpowiednio </w:t>
            </w:r>
            <w:r w:rsidRPr="00885D3C">
              <w:rPr>
                <w:spacing w:val="6"/>
                <w:sz w:val="20"/>
                <w:szCs w:val="20"/>
              </w:rPr>
              <w:t xml:space="preserve">dnia, w którym ta korespondencja </w:t>
            </w:r>
            <w:r w:rsidR="00885D3C" w:rsidRPr="00885D3C">
              <w:rPr>
                <w:spacing w:val="6"/>
                <w:sz w:val="20"/>
                <w:szCs w:val="20"/>
              </w:rPr>
              <w:t>została odebrana albo wpłynęła</w:t>
            </w:r>
            <w:r w:rsidRPr="00885D3C">
              <w:rPr>
                <w:spacing w:val="6"/>
                <w:sz w:val="20"/>
                <w:szCs w:val="20"/>
              </w:rPr>
              <w:t>.”</w:t>
            </w:r>
            <w:r w:rsidR="003B1D24">
              <w:rPr>
                <w:spacing w:val="6"/>
                <w:sz w:val="20"/>
                <w:szCs w:val="20"/>
              </w:rPr>
              <w:t>.</w:t>
            </w:r>
          </w:p>
        </w:tc>
      </w:tr>
      <w:tr w:rsidR="00CE213A" w:rsidRPr="00EF4667" w14:paraId="43BDCB47" w14:textId="77777777" w:rsidTr="00DF109E">
        <w:trPr>
          <w:jc w:val="center"/>
        </w:trPr>
        <w:tc>
          <w:tcPr>
            <w:tcW w:w="704" w:type="dxa"/>
          </w:tcPr>
          <w:p w14:paraId="1FF58425" w14:textId="77777777" w:rsidR="00CE213A" w:rsidRPr="00EF4667" w:rsidRDefault="00CE213A" w:rsidP="00CE213A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8DB37F0" w14:textId="4552BC65" w:rsidR="00CE213A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UODO</w:t>
            </w:r>
          </w:p>
        </w:tc>
        <w:tc>
          <w:tcPr>
            <w:tcW w:w="1417" w:type="dxa"/>
          </w:tcPr>
          <w:p w14:paraId="7CFDCA60" w14:textId="2F4EFC68" w:rsidR="00CE213A" w:rsidRDefault="00CE213A" w:rsidP="00CE213A">
            <w:pPr>
              <w:rPr>
                <w:spacing w:val="6"/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Art. 1 pkt 30</w:t>
            </w:r>
          </w:p>
        </w:tc>
        <w:tc>
          <w:tcPr>
            <w:tcW w:w="5954" w:type="dxa"/>
          </w:tcPr>
          <w:p w14:paraId="2F49BD10" w14:textId="2D4AA69F" w:rsidR="00CE213A" w:rsidRPr="00A7407B" w:rsidRDefault="00CE213A" w:rsidP="00CE213A">
            <w:pPr>
              <w:rPr>
                <w:spacing w:val="6"/>
                <w:sz w:val="20"/>
                <w:szCs w:val="20"/>
              </w:rPr>
            </w:pPr>
            <w:r w:rsidRPr="00A7407B">
              <w:rPr>
                <w:b/>
                <w:bCs/>
                <w:spacing w:val="6"/>
                <w:sz w:val="20"/>
                <w:szCs w:val="20"/>
              </w:rPr>
              <w:t xml:space="preserve">Art. 51 ust. 4 </w:t>
            </w:r>
            <w:r w:rsidRPr="00A7407B">
              <w:rPr>
                <w:spacing w:val="6"/>
                <w:sz w:val="20"/>
                <w:szCs w:val="20"/>
              </w:rPr>
              <w:t>projektu ustawy wskazuje, że: „Operator wyznaczony udostępnia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podmiotowi publicznemu albo podmiotowi niepublicznemu, dla którego świadczy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publiczną usługę rejestrowanego doręczenia elektronicznego lub publiczną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usługę hybrydową, usługę online pozwalającą na wygenerowanie i pobranie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raportu elektronicznego zawierającego informację o korespondencji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zrealizowanej w ramach tych usług i umożliwiającego identyfikację każdej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zrealizowanej korespondencji”. Raport ten umożliwia identyfikację każdej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 xml:space="preserve">przesyłki, w tym dat, nadawców i odbiorców. </w:t>
            </w:r>
            <w:r w:rsidRPr="00A7407B">
              <w:rPr>
                <w:b/>
                <w:bCs/>
                <w:spacing w:val="6"/>
                <w:sz w:val="20"/>
                <w:szCs w:val="20"/>
              </w:rPr>
              <w:t xml:space="preserve">Ust. 5 </w:t>
            </w:r>
            <w:r w:rsidRPr="00A7407B">
              <w:rPr>
                <w:spacing w:val="6"/>
                <w:sz w:val="20"/>
                <w:szCs w:val="20"/>
              </w:rPr>
              <w:t>ww. przepisu wskazuje, że: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„Minister właściwy do spraw informatyzacji określi i udostępni na swojej stronie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podmiotowej w Biuletynie Informacji Publicznej minimalne wymagania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techniczne dotyczące sposobu identyfikacji każdej zrealizowanej korespondencji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oraz dla raportu elektronicznego generowanego w ramach usługi, o której mowa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w ust. 4”. Projektowane rozwiązanie z punktu widzenia zasad ochrony danych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osobowych wymaga doprecyzowania - powinno określać kto i na jakich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zasadach może uzyskać dostęp do zbiorczych danych raportowych.</w:t>
            </w:r>
          </w:p>
        </w:tc>
        <w:tc>
          <w:tcPr>
            <w:tcW w:w="5245" w:type="dxa"/>
          </w:tcPr>
          <w:p w14:paraId="2E659B07" w14:textId="18950EE2" w:rsidR="00CE213A" w:rsidRPr="003B1D24" w:rsidRDefault="00EC1EA4" w:rsidP="00CE213A">
            <w:pPr>
              <w:rPr>
                <w:b/>
                <w:bCs/>
                <w:sz w:val="20"/>
                <w:szCs w:val="20"/>
              </w:rPr>
            </w:pPr>
            <w:r w:rsidRPr="003B1D24">
              <w:rPr>
                <w:b/>
                <w:bCs/>
                <w:sz w:val="20"/>
                <w:szCs w:val="20"/>
              </w:rPr>
              <w:t>Uwaga wyjaśniona</w:t>
            </w:r>
          </w:p>
          <w:p w14:paraId="14CCAA6D" w14:textId="77777777" w:rsidR="00EC1EA4" w:rsidRDefault="00EC1EA4" w:rsidP="00CE213A">
            <w:pPr>
              <w:rPr>
                <w:sz w:val="20"/>
                <w:szCs w:val="20"/>
              </w:rPr>
            </w:pPr>
          </w:p>
          <w:p w14:paraId="3AE6CFC7" w14:textId="779B2F97" w:rsidR="00EC1EA4" w:rsidRPr="00EF4667" w:rsidRDefault="00EC1EA4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Przepis ma na celu nałożenie obowiązku na OW na udostępnienie usługi</w:t>
            </w:r>
            <w:r w:rsidR="009C3F7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która będzie dotyczyła danych już przetwarzanych przez podmiot i to w zakresie tego podmiotu jest już zapewnienie przetwarzania tych danych zgodnie z przepisami o ochronie danych osobowych. </w:t>
            </w:r>
          </w:p>
        </w:tc>
      </w:tr>
      <w:tr w:rsidR="00CE213A" w:rsidRPr="00EF4667" w14:paraId="2EA93DB1" w14:textId="77777777" w:rsidTr="00DF109E">
        <w:trPr>
          <w:jc w:val="center"/>
        </w:trPr>
        <w:tc>
          <w:tcPr>
            <w:tcW w:w="704" w:type="dxa"/>
          </w:tcPr>
          <w:p w14:paraId="54C12A0C" w14:textId="77777777" w:rsidR="00CE213A" w:rsidRPr="00EF4667" w:rsidRDefault="00CE213A" w:rsidP="00CE213A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176FB29" w14:textId="6D56DC22" w:rsidR="00CE213A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UKE</w:t>
            </w:r>
          </w:p>
        </w:tc>
        <w:tc>
          <w:tcPr>
            <w:tcW w:w="1417" w:type="dxa"/>
          </w:tcPr>
          <w:p w14:paraId="1C8DFD7B" w14:textId="0D9250F0" w:rsidR="00CE213A" w:rsidRDefault="00CE213A" w:rsidP="00CE213A">
            <w:pPr>
              <w:rPr>
                <w:spacing w:val="6"/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Art. 1 pkt 32</w:t>
            </w:r>
          </w:p>
        </w:tc>
        <w:tc>
          <w:tcPr>
            <w:tcW w:w="5954" w:type="dxa"/>
          </w:tcPr>
          <w:p w14:paraId="0E422A42" w14:textId="3834AFA4" w:rsidR="00CE213A" w:rsidRPr="006466AE" w:rsidRDefault="00CE213A" w:rsidP="00CE213A">
            <w:pPr>
              <w:rPr>
                <w:spacing w:val="6"/>
                <w:sz w:val="20"/>
                <w:szCs w:val="20"/>
              </w:rPr>
            </w:pPr>
            <w:r w:rsidRPr="006466AE">
              <w:rPr>
                <w:spacing w:val="6"/>
                <w:sz w:val="20"/>
                <w:szCs w:val="20"/>
              </w:rPr>
              <w:t>w projektowanym art. 54 ust. 2a UDE nie jest jasne, na czym polegać ma „sposób rozliczania usług odrębnie dla każdego adresu do doręczeń elektronicznych”, który to sposób operator wyznaczony ma określić w regulaminie świadczenia publicznej usługi rejestrowanego doręczenia elektronicznego i publicznej usługi hybrydowej w przypadku wpisania do bazy adresów elektronicznych więcej niż jednego adresu do doręczeń elektronicznych. Wyjaśnienia tej kwestii nie zawiera również uzasadnienie do Projektu;</w:t>
            </w:r>
          </w:p>
        </w:tc>
        <w:tc>
          <w:tcPr>
            <w:tcW w:w="5245" w:type="dxa"/>
          </w:tcPr>
          <w:p w14:paraId="10AC975D" w14:textId="77777777" w:rsidR="00CE213A" w:rsidRPr="003B1D24" w:rsidRDefault="00CE213A" w:rsidP="00CE213A">
            <w:pPr>
              <w:rPr>
                <w:b/>
                <w:bCs/>
                <w:sz w:val="20"/>
                <w:szCs w:val="20"/>
              </w:rPr>
            </w:pPr>
            <w:r w:rsidRPr="003B1D24">
              <w:rPr>
                <w:b/>
                <w:bCs/>
                <w:sz w:val="20"/>
                <w:szCs w:val="20"/>
              </w:rPr>
              <w:t>Uwaga wyjaśniona</w:t>
            </w:r>
          </w:p>
          <w:p w14:paraId="139D7CE6" w14:textId="77777777" w:rsidR="00CE213A" w:rsidRDefault="00CE213A" w:rsidP="00CE213A">
            <w:pPr>
              <w:rPr>
                <w:sz w:val="20"/>
                <w:szCs w:val="20"/>
              </w:rPr>
            </w:pPr>
          </w:p>
          <w:p w14:paraId="32E17BAE" w14:textId="77777777" w:rsidR="00820AF5" w:rsidRDefault="00820AF5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Przepis został przeredagowany w ten sposób, aby OW zapewniał rozliczenie usług odrębnie dla każdego ADE, utworzonego zgodnie z art. 32 ust. 3. </w:t>
            </w:r>
          </w:p>
          <w:p w14:paraId="05AA8057" w14:textId="77777777" w:rsidR="00820AF5" w:rsidRDefault="00820AF5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Dodawany ust. 2a otrzyma brzmienie:</w:t>
            </w:r>
          </w:p>
          <w:p w14:paraId="170A34FF" w14:textId="77777777" w:rsidR="00820AF5" w:rsidRDefault="00820AF5" w:rsidP="00CE213A">
            <w:pPr>
              <w:rPr>
                <w:sz w:val="20"/>
                <w:szCs w:val="20"/>
              </w:rPr>
            </w:pPr>
          </w:p>
          <w:p w14:paraId="1B5BDFE6" w14:textId="6CDB6814" w:rsidR="00CE213A" w:rsidRPr="00EF4667" w:rsidRDefault="00820AF5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„</w:t>
            </w:r>
            <w:r w:rsidRPr="00820AF5">
              <w:rPr>
                <w:sz w:val="20"/>
                <w:szCs w:val="20"/>
              </w:rPr>
              <w:t>W przypadku wpisania do bazy adresów elektronicznych więcej niż jednego adresu do doręczeń elektronicznych, o którym mowa w art. 32 ust. 3, operator wyznaczony rozlicza świadczone usługi odrębnie dla każdego adresu do doręczeń elektronicznych</w:t>
            </w:r>
            <w:r>
              <w:rPr>
                <w:sz w:val="20"/>
                <w:szCs w:val="20"/>
              </w:rPr>
              <w:t>.”.</w:t>
            </w:r>
          </w:p>
        </w:tc>
      </w:tr>
      <w:tr w:rsidR="00CE213A" w:rsidRPr="00EF4667" w14:paraId="6104C447" w14:textId="77777777" w:rsidTr="00DF109E">
        <w:trPr>
          <w:jc w:val="center"/>
        </w:trPr>
        <w:tc>
          <w:tcPr>
            <w:tcW w:w="704" w:type="dxa"/>
          </w:tcPr>
          <w:p w14:paraId="0AF23E21" w14:textId="77777777" w:rsidR="00CE213A" w:rsidRPr="00EF4667" w:rsidRDefault="00CE213A" w:rsidP="00CE213A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A462C5E" w14:textId="429247D7" w:rsidR="00CE213A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UODO</w:t>
            </w:r>
          </w:p>
        </w:tc>
        <w:tc>
          <w:tcPr>
            <w:tcW w:w="1417" w:type="dxa"/>
          </w:tcPr>
          <w:p w14:paraId="4120C45A" w14:textId="45975CFA" w:rsidR="00CE213A" w:rsidRDefault="00CE213A" w:rsidP="00CE213A">
            <w:pPr>
              <w:rPr>
                <w:spacing w:val="6"/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Art. 1 pkt 35</w:t>
            </w:r>
          </w:p>
        </w:tc>
        <w:tc>
          <w:tcPr>
            <w:tcW w:w="5954" w:type="dxa"/>
          </w:tcPr>
          <w:p w14:paraId="21197EFF" w14:textId="047D0ED4" w:rsidR="00CE213A" w:rsidRPr="00A7407B" w:rsidRDefault="00CE213A" w:rsidP="00CE213A">
            <w:pPr>
              <w:rPr>
                <w:spacing w:val="6"/>
                <w:sz w:val="20"/>
                <w:szCs w:val="20"/>
              </w:rPr>
            </w:pPr>
            <w:r w:rsidRPr="00A7407B">
              <w:rPr>
                <w:b/>
                <w:bCs/>
                <w:spacing w:val="6"/>
                <w:sz w:val="20"/>
                <w:szCs w:val="20"/>
              </w:rPr>
              <w:t xml:space="preserve">Art. 60 ust. 3a </w:t>
            </w:r>
            <w:r w:rsidRPr="00A7407B">
              <w:rPr>
                <w:spacing w:val="6"/>
                <w:sz w:val="20"/>
                <w:szCs w:val="20"/>
              </w:rPr>
              <w:t>projektu ustawy przewiduje udostępnianie danych z bazy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adresów elektronicznych (BAE) Służbie Kontrwywiadu Wojskowego, Służbie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Wywiadu Wojskowego, Agencji Bezpieczeństwa Wewnętrznego, Agencji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Wywiadu, Służbie Ochrony Państwa oraz Centralnemu Biuru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Antykorupcyjnemu— w zakresie „niezbędnym do realizacji ich zadań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ustawowych". Sformułowanie to jest nieprecyzyjne, ogólne i nie zawiera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 xml:space="preserve">żadnych gwarancji proceduralnych ani zakresu danych. Brak </w:t>
            </w:r>
            <w:r w:rsidRPr="00A7407B">
              <w:rPr>
                <w:spacing w:val="6"/>
                <w:sz w:val="20"/>
                <w:szCs w:val="20"/>
              </w:rPr>
              <w:lastRenderedPageBreak/>
              <w:t>nadzoru nad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przetwarzaniem danych osobowych przez służby uzasadnia, aby przepisy w tym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zakresie nie budziły wątpliwości. Powstaje jednak wątpliwość o celowość tej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regulacji w sytuacji, gdy na podstawie odrębnych przepisów prawa wskazane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podmioty mają podstawę do występowania do każdego administratora o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udostępnienie informacji w zakresie niezbędnym dla potrzeb prowadzonych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postępowań. Dostęp do danych osobowych przetwarzanych przez sądy,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prokuraturę, Policję i inne służby odbywa się na innych zasadach,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uregulowanych w przepisach szczególnych.</w:t>
            </w:r>
          </w:p>
        </w:tc>
        <w:tc>
          <w:tcPr>
            <w:tcW w:w="5245" w:type="dxa"/>
          </w:tcPr>
          <w:p w14:paraId="589C0D66" w14:textId="77777777" w:rsidR="00CE213A" w:rsidRPr="00B1395A" w:rsidRDefault="00CE213A" w:rsidP="00CE213A">
            <w:pPr>
              <w:rPr>
                <w:b/>
                <w:bCs/>
                <w:sz w:val="20"/>
                <w:szCs w:val="20"/>
              </w:rPr>
            </w:pPr>
            <w:r w:rsidRPr="00B1395A">
              <w:rPr>
                <w:b/>
                <w:bCs/>
                <w:sz w:val="20"/>
                <w:szCs w:val="20"/>
              </w:rPr>
              <w:lastRenderedPageBreak/>
              <w:t>Uwaga wyjaśniona</w:t>
            </w:r>
          </w:p>
          <w:p w14:paraId="1BA13CBB" w14:textId="77777777" w:rsidR="00CE213A" w:rsidRDefault="00CE213A" w:rsidP="00CE213A">
            <w:pPr>
              <w:rPr>
                <w:sz w:val="20"/>
                <w:szCs w:val="20"/>
              </w:rPr>
            </w:pPr>
          </w:p>
          <w:p w14:paraId="6A29CF5B" w14:textId="2D22640A" w:rsidR="00CE213A" w:rsidRPr="00EF4667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Brzmienie przepisu </w:t>
            </w:r>
            <w:r w:rsidR="00B1395A">
              <w:rPr>
                <w:sz w:val="20"/>
                <w:szCs w:val="20"/>
              </w:rPr>
              <w:t xml:space="preserve">zostało </w:t>
            </w:r>
            <w:r>
              <w:rPr>
                <w:sz w:val="20"/>
                <w:szCs w:val="20"/>
              </w:rPr>
              <w:t>ustalone z właściwymi podmiotami, które zgodnie z właściwymi przepisami dotyczącymi działalności tych służb będą korzystały z BAE.</w:t>
            </w:r>
          </w:p>
        </w:tc>
      </w:tr>
      <w:tr w:rsidR="00CE213A" w:rsidRPr="00EF4667" w14:paraId="36AC65EB" w14:textId="77777777" w:rsidTr="00DF109E">
        <w:trPr>
          <w:jc w:val="center"/>
        </w:trPr>
        <w:tc>
          <w:tcPr>
            <w:tcW w:w="704" w:type="dxa"/>
          </w:tcPr>
          <w:p w14:paraId="34260A0D" w14:textId="77777777" w:rsidR="00CE213A" w:rsidRPr="00EF4667" w:rsidRDefault="00CE213A" w:rsidP="00CE213A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5C6F16" w14:textId="5D8057F2" w:rsidR="00CE213A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UODO</w:t>
            </w:r>
          </w:p>
        </w:tc>
        <w:tc>
          <w:tcPr>
            <w:tcW w:w="1417" w:type="dxa"/>
          </w:tcPr>
          <w:p w14:paraId="1F1E7B15" w14:textId="27DF6254" w:rsidR="00CE213A" w:rsidRDefault="00CE213A" w:rsidP="00CE213A">
            <w:pPr>
              <w:rPr>
                <w:spacing w:val="6"/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Art. 1 pkt 35</w:t>
            </w:r>
          </w:p>
        </w:tc>
        <w:tc>
          <w:tcPr>
            <w:tcW w:w="5954" w:type="dxa"/>
          </w:tcPr>
          <w:p w14:paraId="6F64912B" w14:textId="0640B226" w:rsidR="00CE213A" w:rsidRPr="00A7407B" w:rsidRDefault="00CE213A" w:rsidP="00CE213A">
            <w:pPr>
              <w:rPr>
                <w:spacing w:val="6"/>
                <w:sz w:val="20"/>
                <w:szCs w:val="20"/>
              </w:rPr>
            </w:pPr>
            <w:r w:rsidRPr="00A7407B">
              <w:rPr>
                <w:spacing w:val="6"/>
                <w:sz w:val="20"/>
                <w:szCs w:val="20"/>
              </w:rPr>
              <w:t xml:space="preserve">W </w:t>
            </w:r>
            <w:r w:rsidRPr="00A7407B">
              <w:rPr>
                <w:b/>
                <w:bCs/>
                <w:spacing w:val="6"/>
                <w:sz w:val="20"/>
                <w:szCs w:val="20"/>
              </w:rPr>
              <w:t xml:space="preserve">art. 60 ust. 3c </w:t>
            </w:r>
            <w:r w:rsidRPr="00A7407B">
              <w:rPr>
                <w:spacing w:val="6"/>
                <w:sz w:val="20"/>
                <w:szCs w:val="20"/>
              </w:rPr>
              <w:t>projektodawca wskazuje na udostępnianie danych osób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fizycznych podmiotom niepublicznym — po wyrażeniu zgody przez osobę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fizyczną. Prezes UODO zwracał uwagę na konstrukcję tego przepisu w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poprzedniej opinii. Przepis wskazuje, że zgoda jest udzielana w systemie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teleinformatycznym ministra. Projektowany przepis umożliwia jej wycofanie w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każdym czasie, natomiast nie definiuje, w jaki sposób będzie ona odbierana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oraz czy/w jaki sposób spełni w szczególności wymogi z art. 7 rozporządzenia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2016/679 (dobrowolność, konkretność, jednoznaczność). W przepisach nie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przewidziano także prawa do sprzeciwu wobec konkretnych podmiotów, które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już uzyskały dostęp do danych przed wycofaniem zgody.</w:t>
            </w:r>
          </w:p>
        </w:tc>
        <w:tc>
          <w:tcPr>
            <w:tcW w:w="5245" w:type="dxa"/>
          </w:tcPr>
          <w:p w14:paraId="0C3FC9B5" w14:textId="77777777" w:rsidR="003E601F" w:rsidRPr="00B1395A" w:rsidRDefault="003E601F" w:rsidP="00CE213A">
            <w:pPr>
              <w:rPr>
                <w:b/>
                <w:bCs/>
                <w:sz w:val="20"/>
                <w:szCs w:val="20"/>
              </w:rPr>
            </w:pPr>
            <w:r w:rsidRPr="00B1395A">
              <w:rPr>
                <w:b/>
                <w:bCs/>
                <w:sz w:val="20"/>
                <w:szCs w:val="20"/>
              </w:rPr>
              <w:t>Uwaga wyjaśniona</w:t>
            </w:r>
          </w:p>
          <w:p w14:paraId="116F9D8B" w14:textId="77777777" w:rsidR="003E601F" w:rsidRDefault="003E601F" w:rsidP="00CE213A">
            <w:pPr>
              <w:rPr>
                <w:sz w:val="20"/>
                <w:szCs w:val="20"/>
              </w:rPr>
            </w:pPr>
          </w:p>
          <w:p w14:paraId="355020F9" w14:textId="77777777" w:rsidR="003E601F" w:rsidRDefault="003E601F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Usługę wyszukiwania zapewnia MC. Tym samym odbiorcą zgody będzie MC, który po jej udzieleniu umożliwi innym podmiotom niż publiczne wyszukanie jej danych.</w:t>
            </w:r>
          </w:p>
          <w:p w14:paraId="525B942D" w14:textId="77777777" w:rsidR="003E601F" w:rsidRDefault="003E601F" w:rsidP="00CE213A">
            <w:pPr>
              <w:rPr>
                <w:sz w:val="20"/>
                <w:szCs w:val="20"/>
              </w:rPr>
            </w:pPr>
          </w:p>
          <w:p w14:paraId="5C446ED9" w14:textId="77777777" w:rsidR="003E601F" w:rsidRDefault="00EE2B80" w:rsidP="00CE213A">
            <w:pPr>
              <w:rPr>
                <w:sz w:val="20"/>
                <w:szCs w:val="20"/>
              </w:rPr>
            </w:pPr>
            <w:r w:rsidRPr="00EE2B80">
              <w:rPr>
                <w:sz w:val="20"/>
                <w:szCs w:val="20"/>
              </w:rPr>
              <w:t>Wycofanie zgody nie wpływa na zgodność z prawem przetwarzania, którego dokonano na podstawie zgody przed jej wycofaniem.</w:t>
            </w:r>
          </w:p>
          <w:p w14:paraId="4001B698" w14:textId="77777777" w:rsidR="00EE2B80" w:rsidRDefault="00EE2B80" w:rsidP="00CE213A">
            <w:pPr>
              <w:rPr>
                <w:sz w:val="20"/>
                <w:szCs w:val="20"/>
              </w:rPr>
            </w:pPr>
          </w:p>
          <w:p w14:paraId="5687FDA2" w14:textId="177D9FC1" w:rsidR="00EE2B80" w:rsidRDefault="00EE2B80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Prawa do sprzeciwu co do udostępniania danych konkretnym podmiotom nie przewidziano, z uwagi na to, że zgoda jest udzielana MC i po wyrażeniu zgody MC w usłudze wyszukiwania udostępni dane na potrzeby </w:t>
            </w:r>
            <w:r w:rsidRPr="00EE2B80">
              <w:rPr>
                <w:sz w:val="20"/>
                <w:szCs w:val="20"/>
              </w:rPr>
              <w:t>wyszukania adresu do doręczeń elektronicznych</w:t>
            </w:r>
            <w:r>
              <w:rPr>
                <w:sz w:val="20"/>
                <w:szCs w:val="20"/>
              </w:rPr>
              <w:t>.</w:t>
            </w:r>
          </w:p>
          <w:p w14:paraId="184DEACC" w14:textId="77777777" w:rsidR="00EE2B80" w:rsidRDefault="00EE2B80" w:rsidP="00CE213A">
            <w:pPr>
              <w:rPr>
                <w:sz w:val="20"/>
                <w:szCs w:val="20"/>
              </w:rPr>
            </w:pPr>
          </w:p>
          <w:p w14:paraId="002215D6" w14:textId="58430177" w:rsidR="00EE2B80" w:rsidRPr="00EF4667" w:rsidRDefault="00EE2B80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Przewidziane w przepisach wycofanie zgody dotyczy również wszystkich podmiotów, którym MC udostępnia dane osoby fizycznej na potrzeby wyszukania jej adresu do doręczeń elektronicznych.</w:t>
            </w:r>
          </w:p>
        </w:tc>
      </w:tr>
      <w:tr w:rsidR="00CE213A" w:rsidRPr="00EF4667" w14:paraId="39F2BCFF" w14:textId="77777777" w:rsidTr="00DF109E">
        <w:trPr>
          <w:jc w:val="center"/>
        </w:trPr>
        <w:tc>
          <w:tcPr>
            <w:tcW w:w="704" w:type="dxa"/>
          </w:tcPr>
          <w:p w14:paraId="66DF933B" w14:textId="77777777" w:rsidR="00CE213A" w:rsidRPr="00EF4667" w:rsidRDefault="00CE213A" w:rsidP="00CE213A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A203280" w14:textId="3A0D45B0" w:rsidR="00CE213A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UODO</w:t>
            </w:r>
          </w:p>
        </w:tc>
        <w:tc>
          <w:tcPr>
            <w:tcW w:w="1417" w:type="dxa"/>
          </w:tcPr>
          <w:p w14:paraId="303E19D7" w14:textId="6184CCF5" w:rsidR="00CE213A" w:rsidRDefault="00CE213A" w:rsidP="00CE213A">
            <w:pPr>
              <w:rPr>
                <w:spacing w:val="6"/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Art. 2</w:t>
            </w:r>
          </w:p>
        </w:tc>
        <w:tc>
          <w:tcPr>
            <w:tcW w:w="5954" w:type="dxa"/>
          </w:tcPr>
          <w:p w14:paraId="59720F91" w14:textId="102DCC79" w:rsidR="00CE213A" w:rsidRPr="00A7407B" w:rsidRDefault="00CE213A" w:rsidP="00CE213A">
            <w:pPr>
              <w:rPr>
                <w:spacing w:val="6"/>
                <w:sz w:val="20"/>
                <w:szCs w:val="20"/>
              </w:rPr>
            </w:pPr>
            <w:r w:rsidRPr="00A7407B">
              <w:rPr>
                <w:spacing w:val="6"/>
                <w:sz w:val="20"/>
                <w:szCs w:val="20"/>
              </w:rPr>
              <w:t>Zmianą 1 w art. 63 po § 2 dodaje się § 2a, z którego wynika, że pierwsze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podanie w sprawie powinno zawierać numer PESEL osoby wnoszącej podanie.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Projektodawca nie uzasadnił niezbędności wskazywania numeru PESEL przez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wnioskodawcę w postępowaniu administracyjnym w celu jednoznacznej identyfikacji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tej osoby w związku z prowadzoną korespondencją, co niewątpliwie wymaga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uzupełnienia/uzasadnienia.</w:t>
            </w:r>
          </w:p>
        </w:tc>
        <w:tc>
          <w:tcPr>
            <w:tcW w:w="5245" w:type="dxa"/>
          </w:tcPr>
          <w:p w14:paraId="617FF516" w14:textId="77777777" w:rsidR="00CE213A" w:rsidRPr="00B1395A" w:rsidRDefault="00CE213A" w:rsidP="00CE213A">
            <w:pPr>
              <w:rPr>
                <w:b/>
                <w:bCs/>
                <w:sz w:val="20"/>
                <w:szCs w:val="20"/>
              </w:rPr>
            </w:pPr>
            <w:r w:rsidRPr="00B1395A">
              <w:rPr>
                <w:b/>
                <w:bCs/>
                <w:sz w:val="20"/>
                <w:szCs w:val="20"/>
              </w:rPr>
              <w:t xml:space="preserve">Uwaga wyjaśniona </w:t>
            </w:r>
          </w:p>
          <w:p w14:paraId="29C5FE2D" w14:textId="77777777" w:rsidR="00CE213A" w:rsidRDefault="00CE213A" w:rsidP="00CE213A">
            <w:pPr>
              <w:rPr>
                <w:sz w:val="20"/>
                <w:szCs w:val="20"/>
              </w:rPr>
            </w:pPr>
          </w:p>
          <w:p w14:paraId="4687E1AD" w14:textId="79EAB71D" w:rsidR="00CE213A" w:rsidRDefault="009C3F7D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CE213A">
              <w:rPr>
                <w:sz w:val="20"/>
                <w:szCs w:val="20"/>
              </w:rPr>
              <w:t>rzepis wzorowany na innych procedurach</w:t>
            </w:r>
            <w:r w:rsidR="008727BB">
              <w:rPr>
                <w:sz w:val="20"/>
                <w:szCs w:val="20"/>
              </w:rPr>
              <w:t>, np. PPSA, OP czy KPC.</w:t>
            </w:r>
          </w:p>
          <w:p w14:paraId="07CC0BF0" w14:textId="69E615CE" w:rsidR="008727BB" w:rsidRPr="00EF4667" w:rsidRDefault="008727BB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Podanie numeru PESEL jest związane z ułatwieniem identyfikacji ADE osoby fizycznej w BAE.</w:t>
            </w:r>
          </w:p>
        </w:tc>
      </w:tr>
      <w:tr w:rsidR="00CE213A" w:rsidRPr="00EF4667" w14:paraId="704BE435" w14:textId="77777777" w:rsidTr="00DF109E">
        <w:trPr>
          <w:jc w:val="center"/>
        </w:trPr>
        <w:tc>
          <w:tcPr>
            <w:tcW w:w="704" w:type="dxa"/>
          </w:tcPr>
          <w:p w14:paraId="5C1A5C2C" w14:textId="77777777" w:rsidR="00CE213A" w:rsidRPr="00EF4667" w:rsidRDefault="00CE213A" w:rsidP="00CE213A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A4EEA7C" w14:textId="431BE7A0" w:rsidR="00CE213A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GUS</w:t>
            </w:r>
          </w:p>
        </w:tc>
        <w:tc>
          <w:tcPr>
            <w:tcW w:w="1417" w:type="dxa"/>
          </w:tcPr>
          <w:p w14:paraId="40868378" w14:textId="77C7C9D1" w:rsidR="00CE213A" w:rsidRDefault="00CE213A" w:rsidP="00CE213A">
            <w:pPr>
              <w:rPr>
                <w:spacing w:val="6"/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Art. 6</w:t>
            </w:r>
          </w:p>
        </w:tc>
        <w:tc>
          <w:tcPr>
            <w:tcW w:w="5954" w:type="dxa"/>
          </w:tcPr>
          <w:p w14:paraId="3A605D76" w14:textId="77777777" w:rsidR="00CE213A" w:rsidRPr="00310FA2" w:rsidRDefault="00CE213A" w:rsidP="00CE213A">
            <w:pPr>
              <w:rPr>
                <w:spacing w:val="6"/>
                <w:sz w:val="20"/>
                <w:szCs w:val="20"/>
              </w:rPr>
            </w:pPr>
            <w:r w:rsidRPr="00310FA2">
              <w:rPr>
                <w:spacing w:val="6"/>
                <w:sz w:val="20"/>
                <w:szCs w:val="20"/>
              </w:rPr>
              <w:t xml:space="preserve">W związku ze zmianami do art. 42 ustawy o statystyce publicznej, zaproponowanymi w art. 6: </w:t>
            </w:r>
          </w:p>
          <w:p w14:paraId="533336FD" w14:textId="77777777" w:rsidR="00CE213A" w:rsidRPr="00310FA2" w:rsidRDefault="00CE213A" w:rsidP="00CE213A">
            <w:pPr>
              <w:rPr>
                <w:b/>
                <w:i/>
                <w:spacing w:val="6"/>
                <w:sz w:val="20"/>
                <w:szCs w:val="20"/>
              </w:rPr>
            </w:pPr>
            <w:r w:rsidRPr="00310FA2">
              <w:rPr>
                <w:b/>
                <w:i/>
                <w:spacing w:val="6"/>
                <w:sz w:val="20"/>
                <w:szCs w:val="20"/>
              </w:rPr>
              <w:lastRenderedPageBreak/>
              <w:t>pkt 1) w ust. 3 w pkt 10 kropkę zastępuje się średnikiem i dodaje się pkt 11 w brzmieniu:</w:t>
            </w:r>
          </w:p>
          <w:p w14:paraId="6ED17707" w14:textId="77777777" w:rsidR="00CE213A" w:rsidRPr="00310FA2" w:rsidRDefault="00CE213A" w:rsidP="00CE213A">
            <w:pPr>
              <w:rPr>
                <w:b/>
                <w:i/>
                <w:spacing w:val="6"/>
                <w:sz w:val="20"/>
                <w:szCs w:val="20"/>
              </w:rPr>
            </w:pPr>
            <w:r w:rsidRPr="00310FA2">
              <w:rPr>
                <w:b/>
                <w:i/>
                <w:spacing w:val="6"/>
                <w:sz w:val="20"/>
                <w:szCs w:val="20"/>
              </w:rPr>
              <w:t>„11) adres do doręczeń elektronicznych, o ile podmiot taki adres posiada.”;</w:t>
            </w:r>
          </w:p>
          <w:p w14:paraId="74D02FB1" w14:textId="77777777" w:rsidR="00CE213A" w:rsidRPr="00310FA2" w:rsidRDefault="00CE213A" w:rsidP="00CE213A">
            <w:pPr>
              <w:rPr>
                <w:spacing w:val="6"/>
                <w:sz w:val="20"/>
                <w:szCs w:val="20"/>
              </w:rPr>
            </w:pPr>
            <w:r w:rsidRPr="00310FA2">
              <w:rPr>
                <w:spacing w:val="6"/>
                <w:sz w:val="20"/>
                <w:szCs w:val="20"/>
              </w:rPr>
              <w:t>- wyjaśniamy, że 31 grudnia 2025 r. weszła w życie ustawa z dnia 21 listopada 2025 r. o zmianie ustawy o statystyce publicznej oraz niektórych innych ustaw wprowadzająca m.in. zmiany w zakresie dotyczącym rejestru REGON. Zakres rejestru został rozszerzony m.in. o adres do doręczeń elektronicznych (zmiana wejdzie w życie w 17 grudnia 2026 r.).</w:t>
            </w:r>
          </w:p>
          <w:p w14:paraId="71C285B8" w14:textId="77777777" w:rsidR="00CE213A" w:rsidRPr="00310FA2" w:rsidRDefault="00CE213A" w:rsidP="00CE213A">
            <w:pPr>
              <w:rPr>
                <w:spacing w:val="6"/>
                <w:sz w:val="20"/>
                <w:szCs w:val="20"/>
              </w:rPr>
            </w:pPr>
          </w:p>
          <w:p w14:paraId="4E90DDC0" w14:textId="77777777" w:rsidR="00CE213A" w:rsidRPr="00310FA2" w:rsidRDefault="00CE213A" w:rsidP="00CE213A">
            <w:pPr>
              <w:rPr>
                <w:b/>
                <w:i/>
                <w:spacing w:val="6"/>
                <w:sz w:val="20"/>
                <w:szCs w:val="20"/>
              </w:rPr>
            </w:pPr>
            <w:r w:rsidRPr="00310FA2">
              <w:rPr>
                <w:b/>
                <w:i/>
                <w:spacing w:val="6"/>
                <w:sz w:val="20"/>
                <w:szCs w:val="20"/>
              </w:rPr>
              <w:t>pkt 4) dodaje się ust. 15 w brzmieniu:</w:t>
            </w:r>
          </w:p>
          <w:p w14:paraId="2697FCF9" w14:textId="77777777" w:rsidR="00CE213A" w:rsidRPr="00310FA2" w:rsidRDefault="00CE213A" w:rsidP="00CE213A">
            <w:pPr>
              <w:rPr>
                <w:b/>
                <w:i/>
                <w:spacing w:val="6"/>
                <w:sz w:val="20"/>
                <w:szCs w:val="20"/>
              </w:rPr>
            </w:pPr>
            <w:r w:rsidRPr="00310FA2">
              <w:rPr>
                <w:b/>
                <w:i/>
                <w:spacing w:val="6"/>
                <w:sz w:val="20"/>
                <w:szCs w:val="20"/>
              </w:rPr>
              <w:t>„15. Informacja o adresie do doręczeń elektronicznych jest przekazywana automatycznie za pośrednictwem bazy adresów elektronicznych, o której mowa w art. 25 ustawy z dnia 18 listopada 2020 o doręczeniach elektronicznych.”.</w:t>
            </w:r>
          </w:p>
          <w:p w14:paraId="2FD0975A" w14:textId="77777777" w:rsidR="00CE213A" w:rsidRPr="00310FA2" w:rsidRDefault="00CE213A" w:rsidP="00CE213A">
            <w:pPr>
              <w:rPr>
                <w:spacing w:val="6"/>
                <w:sz w:val="20"/>
                <w:szCs w:val="20"/>
              </w:rPr>
            </w:pPr>
            <w:r w:rsidRPr="00310FA2">
              <w:rPr>
                <w:spacing w:val="6"/>
                <w:sz w:val="20"/>
                <w:szCs w:val="20"/>
              </w:rPr>
              <w:t xml:space="preserve">Wyjaśniamy, że w przypadku podmiotów podlegających wpisowi do rejestru REGON na podstawie danych z CEIDG i KRS, rejestry te również w zakresie adresu do doręczeń stanowiły będą źródło dla rejestru REGON. </w:t>
            </w:r>
          </w:p>
          <w:p w14:paraId="036E6625" w14:textId="45F5DB21" w:rsidR="00CE213A" w:rsidRPr="00310FA2" w:rsidRDefault="00CE213A" w:rsidP="00CE213A">
            <w:pPr>
              <w:rPr>
                <w:spacing w:val="6"/>
                <w:sz w:val="20"/>
                <w:szCs w:val="20"/>
              </w:rPr>
            </w:pPr>
            <w:r w:rsidRPr="00310FA2">
              <w:rPr>
                <w:spacing w:val="6"/>
                <w:sz w:val="20"/>
                <w:szCs w:val="20"/>
              </w:rPr>
              <w:t>W przypadku wpisów pozostałych podmiotów, propozycja ta wymaga rozważania z uwzględnieniem, iż informacja o adresie do doręczeń elektronicznych mieści się w KPP (Katalogu Podmiotów Publicznych).</w:t>
            </w:r>
          </w:p>
        </w:tc>
        <w:tc>
          <w:tcPr>
            <w:tcW w:w="5245" w:type="dxa"/>
          </w:tcPr>
          <w:p w14:paraId="280E5B1D" w14:textId="77777777" w:rsidR="00CE213A" w:rsidRPr="009C3F7D" w:rsidRDefault="00CE213A" w:rsidP="00CE213A">
            <w:pPr>
              <w:rPr>
                <w:b/>
                <w:bCs/>
                <w:sz w:val="20"/>
                <w:szCs w:val="20"/>
              </w:rPr>
            </w:pPr>
            <w:r w:rsidRPr="009C3F7D">
              <w:rPr>
                <w:b/>
                <w:bCs/>
                <w:sz w:val="20"/>
                <w:szCs w:val="20"/>
              </w:rPr>
              <w:lastRenderedPageBreak/>
              <w:t xml:space="preserve">Uwaga wyjaśniona </w:t>
            </w:r>
          </w:p>
          <w:p w14:paraId="49CA32B0" w14:textId="77777777" w:rsidR="00CE213A" w:rsidRDefault="00CE213A" w:rsidP="00CE213A">
            <w:pPr>
              <w:rPr>
                <w:sz w:val="20"/>
                <w:szCs w:val="20"/>
              </w:rPr>
            </w:pPr>
          </w:p>
          <w:p w14:paraId="3D513ADC" w14:textId="1D9C18BC" w:rsidR="00CE213A" w:rsidRPr="00EF4667" w:rsidRDefault="00CE213A" w:rsidP="003707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Przepisy dot. KPP zostały uwzględnione w </w:t>
            </w:r>
            <w:r w:rsidRPr="00915E1F">
              <w:rPr>
                <w:sz w:val="20"/>
                <w:szCs w:val="20"/>
              </w:rPr>
              <w:t>projek</w:t>
            </w:r>
            <w:r>
              <w:rPr>
                <w:sz w:val="20"/>
                <w:szCs w:val="20"/>
              </w:rPr>
              <w:t>cie</w:t>
            </w:r>
            <w:r w:rsidRPr="00915E1F">
              <w:rPr>
                <w:sz w:val="20"/>
                <w:szCs w:val="20"/>
              </w:rPr>
              <w:t xml:space="preserve"> ustawy o zmianie ustawy o usługach zaufania (projekt UC122)</w:t>
            </w:r>
            <w:r>
              <w:rPr>
                <w:sz w:val="20"/>
                <w:szCs w:val="20"/>
              </w:rPr>
              <w:t xml:space="preserve"> – w którym uwzględniono uwagi GUS.</w:t>
            </w:r>
          </w:p>
        </w:tc>
      </w:tr>
      <w:tr w:rsidR="00CE213A" w:rsidRPr="00EF4667" w14:paraId="3346AD39" w14:textId="77777777" w:rsidTr="00DF109E">
        <w:trPr>
          <w:jc w:val="center"/>
        </w:trPr>
        <w:tc>
          <w:tcPr>
            <w:tcW w:w="704" w:type="dxa"/>
          </w:tcPr>
          <w:p w14:paraId="42DA1F25" w14:textId="77777777" w:rsidR="00CE213A" w:rsidRPr="00EF4667" w:rsidRDefault="00CE213A" w:rsidP="00CE213A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4E9A223" w14:textId="3D03CF9E" w:rsidR="00CE213A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UKE</w:t>
            </w:r>
          </w:p>
        </w:tc>
        <w:tc>
          <w:tcPr>
            <w:tcW w:w="1417" w:type="dxa"/>
          </w:tcPr>
          <w:p w14:paraId="51FDEE6F" w14:textId="27758D5A" w:rsidR="00CE213A" w:rsidRDefault="00CE213A" w:rsidP="00CE213A">
            <w:pPr>
              <w:rPr>
                <w:spacing w:val="6"/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Art. 10 pkt 1</w:t>
            </w:r>
          </w:p>
        </w:tc>
        <w:tc>
          <w:tcPr>
            <w:tcW w:w="5954" w:type="dxa"/>
          </w:tcPr>
          <w:p w14:paraId="15B0EA60" w14:textId="16E4687F" w:rsidR="00CE213A" w:rsidRPr="00310FA2" w:rsidRDefault="00CE213A" w:rsidP="00CE213A">
            <w:pPr>
              <w:rPr>
                <w:spacing w:val="6"/>
                <w:sz w:val="20"/>
                <w:szCs w:val="20"/>
              </w:rPr>
            </w:pPr>
            <w:r w:rsidRPr="006466AE">
              <w:rPr>
                <w:spacing w:val="6"/>
                <w:sz w:val="20"/>
                <w:szCs w:val="20"/>
              </w:rPr>
              <w:t xml:space="preserve">niejasny jest cel zmiany polegającej na dodaniu projektowanego ust. 2 w art. 26a ustawy z dnia 5 września 2016 r. o usługach zaufania oraz identyfikacji elektronicznej, zwanej dalej „ustawą o usługach zaufania”. Należy zauważyć, że obowiązek stosowania standardu, o którym mowa w art. 26a ustawy o usługach zaufania, przez operatora wyznaczonego i kwalifikowanych dostawców usług zaufania świadczących kwalifikowane usługi rejestrowanego doręczenia elektronicznego wynika m.in. z art. 38 ust. 1 i ust. 2 pkt 1 oraz z art. 44 UDE. Z tego względu niejasne jest dlaczego, zgodnie z projektowanym art. 26a ust. 2 ustawy o usługach zaufania w ww. standardzie mają być zawarte dodatkowo „informacje dotyczące zakresu integracji systemów teleinformatycznych” a zwłaszcza, jaki skutek prawny te „informacje” miałyby dla operatora wyznaczonego i kwalifikowanych dostawców usług zaufania świadczących kwalifikowane usługi rejestrowanego doręczenia elektronicznego. </w:t>
            </w:r>
            <w:r w:rsidRPr="006466AE">
              <w:rPr>
                <w:spacing w:val="6"/>
                <w:sz w:val="20"/>
                <w:szCs w:val="20"/>
              </w:rPr>
              <w:lastRenderedPageBreak/>
              <w:t xml:space="preserve">Wskazać przy tym należy, że cel przedmiotowej zmiany nie został wyjaśniony w treści uzasadnienia do Projektu. Niezależnie od powyższego należy zauważyć, że uzasadnienie w zakresie art. 10 Projektu, który dotyczy zmian w ustawie o usługach zaufania, odnosi się do nieistniejących w Projekcie zmian polegających na dodaniu art. 26d i art. 26e po art. 26c ustawy o usługach zaufania; </w:t>
            </w:r>
          </w:p>
        </w:tc>
        <w:tc>
          <w:tcPr>
            <w:tcW w:w="5245" w:type="dxa"/>
          </w:tcPr>
          <w:p w14:paraId="700659CC" w14:textId="69788A68" w:rsidR="00CE213A" w:rsidRPr="002A5167" w:rsidRDefault="005B7A98" w:rsidP="00CE213A">
            <w:pPr>
              <w:rPr>
                <w:b/>
                <w:bCs/>
                <w:sz w:val="20"/>
                <w:szCs w:val="20"/>
              </w:rPr>
            </w:pPr>
            <w:r w:rsidRPr="002A5167">
              <w:rPr>
                <w:b/>
                <w:bCs/>
                <w:sz w:val="20"/>
                <w:szCs w:val="20"/>
              </w:rPr>
              <w:lastRenderedPageBreak/>
              <w:t xml:space="preserve">Uwaga wyjaśniona </w:t>
            </w:r>
          </w:p>
          <w:p w14:paraId="025600F0" w14:textId="77777777" w:rsidR="005B7A98" w:rsidRPr="002A5167" w:rsidRDefault="005B7A98" w:rsidP="005B7A98">
            <w:pPr>
              <w:rPr>
                <w:sz w:val="20"/>
                <w:szCs w:val="20"/>
              </w:rPr>
            </w:pPr>
          </w:p>
          <w:p w14:paraId="091D275B" w14:textId="193C6D30" w:rsidR="005B7A98" w:rsidRPr="002A5167" w:rsidRDefault="005B7A98" w:rsidP="005B7A98">
            <w:pPr>
              <w:rPr>
                <w:sz w:val="20"/>
                <w:szCs w:val="20"/>
              </w:rPr>
            </w:pPr>
            <w:r w:rsidRPr="002A5167">
              <w:rPr>
                <w:sz w:val="20"/>
                <w:szCs w:val="20"/>
              </w:rPr>
              <w:t>Projektowany przepis ma na celu wskazanie, że MC określa w standardzie zakres integracji usługi PURDE i KURDE – do której muszą dostosować się podmioty świadczące usługi RDE w celu umożliwienia ich klientom skorzystania z usług publicznych.</w:t>
            </w:r>
          </w:p>
          <w:p w14:paraId="7059B230" w14:textId="77777777" w:rsidR="004566EA" w:rsidRPr="002A5167" w:rsidRDefault="004566EA" w:rsidP="005B7A98">
            <w:pPr>
              <w:rPr>
                <w:sz w:val="20"/>
                <w:szCs w:val="20"/>
              </w:rPr>
            </w:pPr>
          </w:p>
          <w:p w14:paraId="2925A78A" w14:textId="76CD6B4B" w:rsidR="004566EA" w:rsidRPr="002A5167" w:rsidRDefault="004566EA" w:rsidP="005B7A98">
            <w:pPr>
              <w:rPr>
                <w:sz w:val="20"/>
                <w:szCs w:val="20"/>
              </w:rPr>
            </w:pPr>
            <w:r w:rsidRPr="002A5167">
              <w:rPr>
                <w:sz w:val="20"/>
                <w:szCs w:val="20"/>
              </w:rPr>
              <w:t>Dodawany ust. 2 otrzyma brzmienie:</w:t>
            </w:r>
          </w:p>
          <w:p w14:paraId="4D96184E" w14:textId="77777777" w:rsidR="004566EA" w:rsidRPr="002A5167" w:rsidRDefault="004566EA" w:rsidP="005B7A98">
            <w:pPr>
              <w:rPr>
                <w:sz w:val="20"/>
                <w:szCs w:val="20"/>
              </w:rPr>
            </w:pPr>
          </w:p>
          <w:p w14:paraId="2161D4C9" w14:textId="77777777" w:rsidR="00F22CFE" w:rsidRPr="00F22CFE" w:rsidRDefault="003B15BC" w:rsidP="00F22CFE">
            <w:pPr>
              <w:rPr>
                <w:sz w:val="20"/>
                <w:szCs w:val="20"/>
              </w:rPr>
            </w:pPr>
            <w:r w:rsidRPr="002A5167">
              <w:rPr>
                <w:sz w:val="20"/>
                <w:szCs w:val="20"/>
              </w:rPr>
              <w:t xml:space="preserve">„2. </w:t>
            </w:r>
            <w:r w:rsidR="00F22CFE" w:rsidRPr="00F22CFE">
              <w:rPr>
                <w:sz w:val="20"/>
                <w:szCs w:val="20"/>
              </w:rPr>
              <w:t xml:space="preserve">2. Minister właściwy do spraw informatyzacji udostępni dodatkowo w standardzie usługi rejestrowanego doręczenia elektronicznego informacje dotyczące zakresu integracji: </w:t>
            </w:r>
          </w:p>
          <w:p w14:paraId="412CDC91" w14:textId="77777777" w:rsidR="00F22CFE" w:rsidRPr="00F22CFE" w:rsidRDefault="00F22CFE" w:rsidP="00F22CFE">
            <w:pPr>
              <w:rPr>
                <w:sz w:val="20"/>
                <w:szCs w:val="20"/>
              </w:rPr>
            </w:pPr>
            <w:r w:rsidRPr="00F22CFE">
              <w:rPr>
                <w:sz w:val="20"/>
                <w:szCs w:val="20"/>
              </w:rPr>
              <w:t>1)</w:t>
            </w:r>
            <w:r w:rsidRPr="00F22CFE">
              <w:rPr>
                <w:sz w:val="20"/>
                <w:szCs w:val="20"/>
              </w:rPr>
              <w:tab/>
              <w:t>publicznej usługi rejestrowanego doręczenia elektronicznego świadczonej przez operatora wyznaczonego;</w:t>
            </w:r>
          </w:p>
          <w:p w14:paraId="71166D55" w14:textId="77777777" w:rsidR="00F22CFE" w:rsidRPr="00F22CFE" w:rsidRDefault="00F22CFE" w:rsidP="00F22CFE">
            <w:pPr>
              <w:rPr>
                <w:sz w:val="20"/>
                <w:szCs w:val="20"/>
              </w:rPr>
            </w:pPr>
            <w:r w:rsidRPr="00F22CFE">
              <w:rPr>
                <w:sz w:val="20"/>
                <w:szCs w:val="20"/>
              </w:rPr>
              <w:lastRenderedPageBreak/>
              <w:t>2)</w:t>
            </w:r>
            <w:r w:rsidRPr="00F22CFE">
              <w:rPr>
                <w:sz w:val="20"/>
                <w:szCs w:val="20"/>
              </w:rPr>
              <w:tab/>
              <w:t>kwalifikowanych usług rejestrowanego doręczenia elektronicznego świadczonych przez kwalifikowanych dostawców usług zaufania</w:t>
            </w:r>
          </w:p>
          <w:p w14:paraId="06A98980" w14:textId="7A2F3AE3" w:rsidR="00FB116A" w:rsidRDefault="00F22CFE" w:rsidP="00F22CFE">
            <w:pPr>
              <w:rPr>
                <w:sz w:val="20"/>
                <w:szCs w:val="20"/>
              </w:rPr>
            </w:pPr>
            <w:r w:rsidRPr="00F22CFE">
              <w:rPr>
                <w:sz w:val="20"/>
                <w:szCs w:val="20"/>
              </w:rPr>
              <w:t>– z systemami teleinformatycznymi, o których mowa w art. 58 ust. 1 ustawy z dnia 18 listopada 2020 r. o doręczeniach elektronicznych (Dz. U. z 2026 r. poz. 3).”</w:t>
            </w:r>
            <w:r>
              <w:rPr>
                <w:sz w:val="20"/>
                <w:szCs w:val="20"/>
              </w:rPr>
              <w:t>.</w:t>
            </w:r>
          </w:p>
          <w:p w14:paraId="065DCB08" w14:textId="77777777" w:rsidR="00F22CFE" w:rsidRDefault="00F22CFE" w:rsidP="00F22CFE">
            <w:pPr>
              <w:rPr>
                <w:sz w:val="20"/>
                <w:szCs w:val="20"/>
              </w:rPr>
            </w:pPr>
          </w:p>
          <w:p w14:paraId="3F1C1461" w14:textId="62EFFAF0" w:rsidR="00FB116A" w:rsidRPr="00EF4667" w:rsidRDefault="00FB116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zakresie uwagi do uzasadnienia zostanie ono poprawione.</w:t>
            </w:r>
          </w:p>
        </w:tc>
      </w:tr>
      <w:tr w:rsidR="00CE213A" w:rsidRPr="00EF4667" w14:paraId="19D9CDE5" w14:textId="77777777" w:rsidTr="00DF109E">
        <w:trPr>
          <w:jc w:val="center"/>
        </w:trPr>
        <w:tc>
          <w:tcPr>
            <w:tcW w:w="704" w:type="dxa"/>
          </w:tcPr>
          <w:p w14:paraId="7DDD5258" w14:textId="77777777" w:rsidR="00CE213A" w:rsidRPr="00EF4667" w:rsidRDefault="00CE213A" w:rsidP="00CE213A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EACFC6C" w14:textId="54CC1EA5" w:rsidR="00CE213A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UKE</w:t>
            </w:r>
          </w:p>
        </w:tc>
        <w:tc>
          <w:tcPr>
            <w:tcW w:w="1417" w:type="dxa"/>
          </w:tcPr>
          <w:p w14:paraId="3D5C77DA" w14:textId="1A97FC81" w:rsidR="00CE213A" w:rsidRDefault="00CE213A" w:rsidP="00CE213A">
            <w:pPr>
              <w:rPr>
                <w:spacing w:val="6"/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OSR pkt 2</w:t>
            </w:r>
          </w:p>
        </w:tc>
        <w:tc>
          <w:tcPr>
            <w:tcW w:w="5954" w:type="dxa"/>
          </w:tcPr>
          <w:p w14:paraId="1F6EBE03" w14:textId="6A4011EE" w:rsidR="00CE213A" w:rsidRPr="006466AE" w:rsidRDefault="00CE213A" w:rsidP="00CE213A">
            <w:pPr>
              <w:rPr>
                <w:spacing w:val="6"/>
                <w:sz w:val="20"/>
                <w:szCs w:val="20"/>
              </w:rPr>
            </w:pPr>
            <w:r w:rsidRPr="006466AE">
              <w:rPr>
                <w:spacing w:val="6"/>
                <w:sz w:val="20"/>
                <w:szCs w:val="20"/>
              </w:rPr>
              <w:t xml:space="preserve">w części 2 OSR znajduje się informacja, że Projekt zakłada „Wprowadzenie obowiązku udostępniania raportów Prezesowi Urzędu Komunikacji Elektronicznej o zrealizowanych usługach oraz zwiększenie nadzoru nad usługami </w:t>
            </w:r>
            <w:proofErr w:type="spellStart"/>
            <w:r w:rsidRPr="006466AE">
              <w:rPr>
                <w:spacing w:val="6"/>
                <w:sz w:val="20"/>
                <w:szCs w:val="20"/>
              </w:rPr>
              <w:t>eDoręczeń</w:t>
            </w:r>
            <w:proofErr w:type="spellEnd"/>
            <w:r w:rsidRPr="006466AE">
              <w:rPr>
                <w:spacing w:val="6"/>
                <w:sz w:val="20"/>
                <w:szCs w:val="20"/>
              </w:rPr>
              <w:t>” (</w:t>
            </w:r>
            <w:proofErr w:type="spellStart"/>
            <w:r w:rsidRPr="006466AE">
              <w:rPr>
                <w:spacing w:val="6"/>
                <w:sz w:val="20"/>
                <w:szCs w:val="20"/>
              </w:rPr>
              <w:t>ppkt</w:t>
            </w:r>
            <w:proofErr w:type="spellEnd"/>
            <w:r w:rsidRPr="006466AE">
              <w:rPr>
                <w:spacing w:val="6"/>
                <w:sz w:val="20"/>
                <w:szCs w:val="20"/>
              </w:rPr>
              <w:t xml:space="preserve"> 16). Jednakże należy zauważyć, że Projekt nie zawiera regulacji przewidujących udostępnianie Prezesowi Urzędu Komunikacji Elektronicznej ww. raportów ani zwiększających nadzór Prezesa Urzędu Komunikacji Elektronicznej nad usługami </w:t>
            </w:r>
            <w:proofErr w:type="spellStart"/>
            <w:r w:rsidRPr="006466AE">
              <w:rPr>
                <w:spacing w:val="6"/>
                <w:sz w:val="20"/>
                <w:szCs w:val="20"/>
              </w:rPr>
              <w:t>eDoręczeń</w:t>
            </w:r>
            <w:proofErr w:type="spellEnd"/>
            <w:r w:rsidRPr="006466AE">
              <w:rPr>
                <w:spacing w:val="6"/>
                <w:sz w:val="20"/>
                <w:szCs w:val="20"/>
              </w:rPr>
              <w:t xml:space="preserve">. </w:t>
            </w:r>
          </w:p>
        </w:tc>
        <w:tc>
          <w:tcPr>
            <w:tcW w:w="5245" w:type="dxa"/>
          </w:tcPr>
          <w:p w14:paraId="14E80EA9" w14:textId="77777777" w:rsidR="00CE213A" w:rsidRPr="00F22CFE" w:rsidRDefault="00CE213A" w:rsidP="00CE213A">
            <w:pPr>
              <w:rPr>
                <w:b/>
                <w:bCs/>
                <w:sz w:val="20"/>
                <w:szCs w:val="20"/>
              </w:rPr>
            </w:pPr>
            <w:r w:rsidRPr="00F22CFE">
              <w:rPr>
                <w:b/>
                <w:bCs/>
                <w:sz w:val="20"/>
                <w:szCs w:val="20"/>
              </w:rPr>
              <w:t>Uwaga wyjaśniona</w:t>
            </w:r>
          </w:p>
          <w:p w14:paraId="4E904479" w14:textId="77777777" w:rsidR="00CE213A" w:rsidRPr="00A62CB1" w:rsidRDefault="00CE213A" w:rsidP="00CE213A">
            <w:pPr>
              <w:rPr>
                <w:sz w:val="20"/>
                <w:szCs w:val="20"/>
              </w:rPr>
            </w:pPr>
          </w:p>
          <w:p w14:paraId="767C4E6E" w14:textId="086DAA5C" w:rsidR="00CE213A" w:rsidRPr="00EF4667" w:rsidRDefault="00CE213A" w:rsidP="00CE213A">
            <w:pPr>
              <w:rPr>
                <w:sz w:val="20"/>
                <w:szCs w:val="20"/>
              </w:rPr>
            </w:pPr>
            <w:r w:rsidRPr="00A62CB1">
              <w:rPr>
                <w:sz w:val="20"/>
                <w:szCs w:val="20"/>
              </w:rPr>
              <w:t>Doprecyzowany zostanie OSR do brzmienia przepisów.</w:t>
            </w:r>
          </w:p>
        </w:tc>
      </w:tr>
      <w:tr w:rsidR="00CE213A" w:rsidRPr="00EF4667" w14:paraId="33F0CCB1" w14:textId="77777777" w:rsidTr="00DF109E">
        <w:trPr>
          <w:jc w:val="center"/>
        </w:trPr>
        <w:tc>
          <w:tcPr>
            <w:tcW w:w="704" w:type="dxa"/>
          </w:tcPr>
          <w:p w14:paraId="129A7FD3" w14:textId="77777777" w:rsidR="00CE213A" w:rsidRPr="00EF4667" w:rsidRDefault="00CE213A" w:rsidP="00CE213A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C26828A" w14:textId="057BF3FE" w:rsidR="00CE213A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UODO</w:t>
            </w:r>
          </w:p>
        </w:tc>
        <w:tc>
          <w:tcPr>
            <w:tcW w:w="1417" w:type="dxa"/>
          </w:tcPr>
          <w:p w14:paraId="7C6ACD82" w14:textId="240EC7DE" w:rsidR="00CE213A" w:rsidRDefault="00CE213A" w:rsidP="00CE213A">
            <w:pPr>
              <w:rPr>
                <w:spacing w:val="6"/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Uwaga ogólna</w:t>
            </w:r>
          </w:p>
        </w:tc>
        <w:tc>
          <w:tcPr>
            <w:tcW w:w="5954" w:type="dxa"/>
          </w:tcPr>
          <w:p w14:paraId="0EBA9226" w14:textId="0C9ABCE2" w:rsidR="00CE213A" w:rsidRDefault="00CE213A" w:rsidP="00CE213A">
            <w:pPr>
              <w:rPr>
                <w:spacing w:val="6"/>
                <w:sz w:val="20"/>
                <w:szCs w:val="20"/>
              </w:rPr>
            </w:pPr>
            <w:r w:rsidRPr="00612B17">
              <w:rPr>
                <w:spacing w:val="6"/>
                <w:sz w:val="20"/>
                <w:szCs w:val="20"/>
              </w:rPr>
              <w:t>Odnosząc się do poszczególnych wyjaśnień oraz do przekazanej nowej wersji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projektu ustawy organ nadzorczy na wstępie wskazuje, że wszystkie uwagi, które zostały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zgłoszone do poprzedniej wersji projektu ustawy, a nie zostały uwzględnione przez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projektodawcę w obecnej wersji, pozostają aktualne.</w:t>
            </w:r>
            <w:r>
              <w:rPr>
                <w:spacing w:val="6"/>
                <w:sz w:val="20"/>
                <w:szCs w:val="20"/>
              </w:rPr>
              <w:t xml:space="preserve"> </w:t>
            </w:r>
          </w:p>
          <w:p w14:paraId="66C33D92" w14:textId="333E81A5" w:rsidR="00CE213A" w:rsidRDefault="00CE213A" w:rsidP="00CE213A">
            <w:pPr>
              <w:rPr>
                <w:spacing w:val="6"/>
                <w:sz w:val="20"/>
                <w:szCs w:val="20"/>
              </w:rPr>
            </w:pPr>
            <w:r w:rsidRPr="00612B17">
              <w:rPr>
                <w:spacing w:val="6"/>
                <w:sz w:val="20"/>
                <w:szCs w:val="20"/>
              </w:rPr>
              <w:t>Organ nadzorczy opiniując projekt ustawy z 21 sierpnia 2025 r. wskazał, że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charakter proponowanych zmian, polegających m.in. na utworzeniu nowego rejestru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 xml:space="preserve">publicznego – </w:t>
            </w:r>
            <w:r w:rsidRPr="00612B17">
              <w:rPr>
                <w:b/>
                <w:bCs/>
                <w:spacing w:val="6"/>
                <w:sz w:val="20"/>
                <w:szCs w:val="20"/>
              </w:rPr>
              <w:t>Katalogu Podmiotów Publicznych (KPP)</w:t>
            </w:r>
            <w:r w:rsidRPr="00612B17">
              <w:rPr>
                <w:spacing w:val="6"/>
                <w:sz w:val="20"/>
                <w:szCs w:val="20"/>
              </w:rPr>
              <w:t>, centralizację danych z różnych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rejestrów publicznych, uzasadnia niezbędność przeprowadzenia przez projektodawcę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testu prywatności w procesie tworzenia prawa, w tym ocenę skutków dla ochrony danych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(art. 25 ust. 1 rozporządzenia 2016/679), dotyczącą sposobów przetwarzania danych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osobowych w systemie teleinformatycznym, jak i uwzględnienie art. 35 (w szczególności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ust. 1 5 i ust. 10) co do podstaw prawnych przetwarzania. Projektodawca odnosząc się do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uwag Prezesa UODO, wskazał, że „analiza ryzyka i ocena skutków dla ochrony danych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zostanie przeprowadzona”. Jednak analiza ryzyka oraz ocena skutków dla ochrony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 xml:space="preserve">danych powinny być przeprowadzone </w:t>
            </w:r>
            <w:r w:rsidRPr="00612B17">
              <w:rPr>
                <w:b/>
                <w:bCs/>
                <w:spacing w:val="6"/>
                <w:sz w:val="20"/>
                <w:szCs w:val="20"/>
              </w:rPr>
              <w:t>przed, a najpóźniej równolegle z</w:t>
            </w:r>
            <w:r>
              <w:rPr>
                <w:b/>
                <w:bCs/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b/>
                <w:bCs/>
                <w:spacing w:val="6"/>
                <w:sz w:val="20"/>
                <w:szCs w:val="20"/>
              </w:rPr>
              <w:t xml:space="preserve">proponowanymi rozwiązaniami legislacyjnymi – </w:t>
            </w:r>
            <w:r w:rsidRPr="00612B17">
              <w:rPr>
                <w:spacing w:val="6"/>
                <w:sz w:val="20"/>
                <w:szCs w:val="20"/>
              </w:rPr>
              <w:t>w projektowanych przepisach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projektodawca powinien uwzględniać wyniki przeprowadzonej analizy i oceny skutków,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 xml:space="preserve">ocenę skutków dla ochrony danych dokonywać już w ramach oceny skutków </w:t>
            </w:r>
            <w:r w:rsidRPr="00612B17">
              <w:rPr>
                <w:spacing w:val="6"/>
                <w:sz w:val="20"/>
                <w:szCs w:val="20"/>
              </w:rPr>
              <w:lastRenderedPageBreak/>
              <w:t>regulacji w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związku z przyjęciem podstawy prawnej. W związku z przedstawionym wyjaśnieniem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powstaje zatem pytanie czy przedstawiona obecnie wersja projektu ustawy jest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ostateczna.</w:t>
            </w:r>
            <w:r>
              <w:rPr>
                <w:spacing w:val="6"/>
                <w:sz w:val="20"/>
                <w:szCs w:val="20"/>
              </w:rPr>
              <w:t xml:space="preserve"> </w:t>
            </w:r>
          </w:p>
          <w:p w14:paraId="7614F0E3" w14:textId="1F13E4D5" w:rsidR="00CE213A" w:rsidRDefault="00CE213A" w:rsidP="00CE213A">
            <w:pPr>
              <w:rPr>
                <w:spacing w:val="6"/>
                <w:sz w:val="20"/>
                <w:szCs w:val="20"/>
              </w:rPr>
            </w:pPr>
            <w:r w:rsidRPr="00612B17">
              <w:rPr>
                <w:spacing w:val="6"/>
                <w:sz w:val="20"/>
                <w:szCs w:val="20"/>
              </w:rPr>
              <w:t>Ponadto projektodawca – odnosząc się do materii przedstawionej w wystąpieniu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Prezesa UODO skierowanym do Ministra Cyfryzacji - zaznaczył, że nie dotyczą one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przedłożonego projektu (wyjaśnienie do uwagi nr 53 w tabeli), z czym organ nie może się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zgodzić gdyż uznaje je za istotne i związane z projektowaną regulacją. W projekcie ustawy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nadal brak jest bowiem rozwiązań odnoszących się do problemu najczęściej zgłaszanego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organowi nadzorczemu przez inspektorów ochrony danych związanego z e-doręczeniami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 xml:space="preserve">– a mianowicie, tego </w:t>
            </w:r>
            <w:r w:rsidRPr="00612B17">
              <w:rPr>
                <w:b/>
                <w:bCs/>
                <w:spacing w:val="6"/>
                <w:sz w:val="20"/>
                <w:szCs w:val="20"/>
              </w:rPr>
              <w:t>jaki status w rozumieniu przepisów rozporządzenia 2016/679 ma</w:t>
            </w:r>
            <w:r>
              <w:rPr>
                <w:b/>
                <w:bCs/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b/>
                <w:bCs/>
                <w:spacing w:val="6"/>
                <w:sz w:val="20"/>
                <w:szCs w:val="20"/>
              </w:rPr>
              <w:t>operator wyznaczony wobec danych osobowych zawartych w treści</w:t>
            </w:r>
            <w:r>
              <w:rPr>
                <w:b/>
                <w:bCs/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b/>
                <w:bCs/>
                <w:spacing w:val="6"/>
                <w:sz w:val="20"/>
                <w:szCs w:val="20"/>
              </w:rPr>
              <w:t>korespondencji, które przetwarza w związku ze świadczeniem usług Publicznej</w:t>
            </w:r>
            <w:r>
              <w:rPr>
                <w:b/>
                <w:bCs/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b/>
                <w:bCs/>
                <w:spacing w:val="6"/>
                <w:sz w:val="20"/>
                <w:szCs w:val="20"/>
              </w:rPr>
              <w:t>Usługi Hybrydowej (PUH) oraz Publicznej Usługi Rejestrowanego Doręczenia</w:t>
            </w:r>
            <w:r>
              <w:rPr>
                <w:b/>
                <w:bCs/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b/>
                <w:bCs/>
                <w:spacing w:val="6"/>
                <w:sz w:val="20"/>
                <w:szCs w:val="20"/>
              </w:rPr>
              <w:t>Elektronicznego (PURDE). W szczególności zasadnicze wątpliwości interpretacyjne</w:t>
            </w:r>
            <w:r>
              <w:rPr>
                <w:b/>
                <w:bCs/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b/>
                <w:bCs/>
                <w:spacing w:val="6"/>
                <w:sz w:val="20"/>
                <w:szCs w:val="20"/>
              </w:rPr>
              <w:t xml:space="preserve">budzi, </w:t>
            </w:r>
            <w:r w:rsidRPr="00612B17">
              <w:rPr>
                <w:spacing w:val="6"/>
                <w:sz w:val="20"/>
                <w:szCs w:val="20"/>
              </w:rPr>
              <w:t>czy operator wyznaczony jest administratorem tych danych, czy podmiotem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przetwarzającym. Problem ten był sygnalizowany w ww. wystąpieniu, jak również w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uwagach do projektu ustawy, jest też podnoszony w pytaniach kierowanych do organu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nadzorczego. Obecna wersja projektu ustawy nie zawiera regulacji w przedmiotowym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zakresie. W uzasadnieniu do projektu ustawy projektodawca również tego nie wyjaśnia.</w:t>
            </w:r>
            <w:r>
              <w:rPr>
                <w:spacing w:val="6"/>
                <w:sz w:val="20"/>
                <w:szCs w:val="20"/>
              </w:rPr>
              <w:t xml:space="preserve"> </w:t>
            </w:r>
          </w:p>
          <w:p w14:paraId="3208CF25" w14:textId="774E2A57" w:rsidR="00CE213A" w:rsidRDefault="00CE213A" w:rsidP="00CE213A">
            <w:pPr>
              <w:rPr>
                <w:spacing w:val="6"/>
                <w:sz w:val="20"/>
                <w:szCs w:val="20"/>
              </w:rPr>
            </w:pPr>
            <w:r w:rsidRPr="00612B17">
              <w:rPr>
                <w:spacing w:val="6"/>
                <w:sz w:val="20"/>
                <w:szCs w:val="20"/>
              </w:rPr>
              <w:t>Projektodawca nie odniósł się w projektowanych przepisach także do kwestii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 xml:space="preserve">związanej z </w:t>
            </w:r>
            <w:r w:rsidRPr="00612B17">
              <w:rPr>
                <w:b/>
                <w:bCs/>
                <w:spacing w:val="6"/>
                <w:sz w:val="20"/>
                <w:szCs w:val="20"/>
              </w:rPr>
              <w:t xml:space="preserve">wykorzystywaniem numeru PESEL oraz prywatnego profilu </w:t>
            </w:r>
            <w:proofErr w:type="spellStart"/>
            <w:r w:rsidRPr="00612B17">
              <w:rPr>
                <w:b/>
                <w:bCs/>
                <w:spacing w:val="6"/>
                <w:sz w:val="20"/>
                <w:szCs w:val="20"/>
              </w:rPr>
              <w:t>mObywatela</w:t>
            </w:r>
            <w:proofErr w:type="spellEnd"/>
            <w:r w:rsidRPr="00612B17">
              <w:rPr>
                <w:b/>
                <w:bCs/>
                <w:spacing w:val="6"/>
                <w:sz w:val="20"/>
                <w:szCs w:val="20"/>
              </w:rPr>
              <w:t>,</w:t>
            </w:r>
            <w:r>
              <w:rPr>
                <w:b/>
                <w:bCs/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b/>
                <w:bCs/>
                <w:spacing w:val="6"/>
                <w:sz w:val="20"/>
                <w:szCs w:val="20"/>
              </w:rPr>
              <w:t>profilu zaufanego oraz osobistej bankowości elektronicznej pracownika do celów</w:t>
            </w:r>
            <w:r>
              <w:rPr>
                <w:b/>
                <w:bCs/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b/>
                <w:bCs/>
                <w:spacing w:val="6"/>
                <w:sz w:val="20"/>
                <w:szCs w:val="20"/>
              </w:rPr>
              <w:t>służbowych, który jest wymagany w związku z utworzeniem adresu do doręczeń</w:t>
            </w:r>
            <w:r>
              <w:rPr>
                <w:b/>
                <w:bCs/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b/>
                <w:bCs/>
                <w:spacing w:val="6"/>
                <w:sz w:val="20"/>
                <w:szCs w:val="20"/>
              </w:rPr>
              <w:t xml:space="preserve">elektronicznych (ADE) </w:t>
            </w:r>
            <w:r w:rsidRPr="00612B17">
              <w:rPr>
                <w:spacing w:val="6"/>
                <w:sz w:val="20"/>
                <w:szCs w:val="20"/>
              </w:rPr>
              <w:t>i wskazywaniem tych osób jako administratora/ów oraz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użytkowników skrzynki doręczeń, o których mowa w ustawie o doręczeniach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elektronicznych. Osoby te, logując się do skrzynki doręczeń muszą skorzystać z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proofErr w:type="spellStart"/>
            <w:r w:rsidRPr="00612B17">
              <w:rPr>
                <w:spacing w:val="6"/>
                <w:sz w:val="20"/>
                <w:szCs w:val="20"/>
              </w:rPr>
              <w:t>mObywatela</w:t>
            </w:r>
            <w:proofErr w:type="spellEnd"/>
            <w:r w:rsidRPr="00612B17">
              <w:rPr>
                <w:spacing w:val="6"/>
                <w:sz w:val="20"/>
                <w:szCs w:val="20"/>
              </w:rPr>
              <w:t>, Profilu Zaufanego, osobistej bankowości elektronicznej (na co wskazuje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m.in. art. 19 ust. 4 ustawy o doręczeniach elektronicznych). Projektodawca w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wyjaśnieniach w tabeli uwag (punkt 56) wskazał: „(…) w obowiązującym stanie prawnym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nie funkcjonuje podział na „prywatne” i „służbowe” środki identyfikacji elektronicznej –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lastRenderedPageBreak/>
              <w:t>takiego podziału nie wprowadzają przepisy rozporządzenia nr 910/2014, jak również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przepisy ustawy z dnia 17 lutego 2005 r. o informatyzacji działalności podmiotów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realizujących zadania publiczne (Dz. U. z 2024 r. poz. 1557 i 1717) czy też ustawy z dnia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5 września 2016 r. o usługach zaufania oraz identyfikacji elektronicznej (Dz. U. z 2024 r.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poz. 1725). Każdy środek identyfikacji elektronicznej, wydawany w ramach systemu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identyfikacji elektronicznej przyłączonego do węzła krajowego identyfikacji elektronicznej,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o którym mowa w art. 21a ust. 1 pkt 1 ustawy z dnia 5 września 2016 r. o usługach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zaufania oraz identyfikacji elektronicznej, może być użyty w celu uwierzytelnienia w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systemie teleinformatycznym podmiotu publicznego – a ustawa nie wprowadza podziału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na środki identyfikacji elektronicznej „aktywowane” do użycia w celu „prywatnym” czy też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„służbowym”. Projektodawca stoi na stanowisku, że w obowiązującym stanie prawnym, w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sytuacji gdy pracownik dobrowolnie zdecyduje się na użycie środka identyfikacji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elektronicznej – np. profilu zaufanego – podmiot publiczny może, w oparciu o przepisy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ustawy o doręczeniach elektronicznych oraz przepisy ustawy o usługach zaufania oraz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identyfikacji elektronicznej, przetwarzać dane osobowe tej osoby w zakresie niezbędnym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do realizacji procesu uwierzytelnienia. Zakres ten obejmuje m.in. imię, nazwisko, numer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PESEL lub identyfikator środka identyfikacji (UUID), przekazywane zgodnie z art. 21a ust.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6 ustawy z dnia 5 września 2016 r.”. Osoba fizyczna uprawniona przez podmiot publiczny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do korzystania z bazy adresów elektronicznych (czyli wykonywania obowiązków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wynikających ze stosunku pracy) jest zobowiązana do ujawniania numeru PESEL, co jest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niezgodne z zasadami wyrażonymi w art. 5 i art. 87 ogólnego rozporządzenia o ochronie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danych oraz art. 22</w:t>
            </w:r>
            <w:r w:rsidRPr="00612B17">
              <w:rPr>
                <w:spacing w:val="6"/>
                <w:sz w:val="20"/>
                <w:szCs w:val="20"/>
                <w:vertAlign w:val="superscript"/>
              </w:rPr>
              <w:t>1</w:t>
            </w:r>
            <w:r w:rsidRPr="00612B17">
              <w:rPr>
                <w:spacing w:val="6"/>
                <w:sz w:val="20"/>
                <w:szCs w:val="20"/>
              </w:rPr>
              <w:t xml:space="preserve"> ustawy z dnia 26 czerwca 1974 r. – Kodeks pracy. Wykorzystywane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środki identyfikacji powinny należeć do podmiotu publicznego, a nie być narzędziem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pracownika jako osoby prywatnej. Prawodawca nie wykazał powodów wprowadzenia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takich rozwiązań w sytuacji, gdy tożsamość pracownika reprezentującego pracodawcę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mogłaby być potwierdzana przez inne metody uwierzytelniania.</w:t>
            </w:r>
            <w:r>
              <w:rPr>
                <w:spacing w:val="6"/>
                <w:sz w:val="20"/>
                <w:szCs w:val="20"/>
              </w:rPr>
              <w:t xml:space="preserve"> </w:t>
            </w:r>
          </w:p>
          <w:p w14:paraId="285AEB37" w14:textId="1A31DF46" w:rsidR="00CE213A" w:rsidRPr="00310FA2" w:rsidRDefault="00CE213A" w:rsidP="00CE213A">
            <w:pPr>
              <w:rPr>
                <w:spacing w:val="6"/>
                <w:sz w:val="20"/>
                <w:szCs w:val="20"/>
              </w:rPr>
            </w:pPr>
            <w:r w:rsidRPr="00612B17">
              <w:rPr>
                <w:spacing w:val="6"/>
                <w:sz w:val="20"/>
                <w:szCs w:val="20"/>
              </w:rPr>
              <w:t>Uwagi organu nadzorczego zawarte w przedmiotowym wystąpieniu związane z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modelem dostępu do danych osobowych w związku z realizacją usługi doręczeń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 xml:space="preserve">elektronicznych, </w:t>
            </w:r>
            <w:r w:rsidRPr="00612B17">
              <w:rPr>
                <w:spacing w:val="6"/>
                <w:sz w:val="20"/>
                <w:szCs w:val="20"/>
              </w:rPr>
              <w:lastRenderedPageBreak/>
              <w:t>nieuwzględnione w projektowanych przepisach, pozostają zatem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612B17">
              <w:rPr>
                <w:spacing w:val="6"/>
                <w:sz w:val="20"/>
                <w:szCs w:val="20"/>
              </w:rPr>
              <w:t>aktualne.</w:t>
            </w:r>
          </w:p>
        </w:tc>
        <w:tc>
          <w:tcPr>
            <w:tcW w:w="5245" w:type="dxa"/>
          </w:tcPr>
          <w:p w14:paraId="1AB1211F" w14:textId="77777777" w:rsidR="00CE213A" w:rsidRPr="00F22CFE" w:rsidRDefault="00CE213A" w:rsidP="00CE213A">
            <w:pPr>
              <w:rPr>
                <w:b/>
                <w:bCs/>
                <w:sz w:val="20"/>
                <w:szCs w:val="20"/>
              </w:rPr>
            </w:pPr>
            <w:r w:rsidRPr="00F22CFE">
              <w:rPr>
                <w:b/>
                <w:bCs/>
                <w:sz w:val="20"/>
                <w:szCs w:val="20"/>
              </w:rPr>
              <w:lastRenderedPageBreak/>
              <w:t xml:space="preserve">Uwaga wyjaśniona </w:t>
            </w:r>
          </w:p>
          <w:p w14:paraId="185053B8" w14:textId="77777777" w:rsidR="00CE213A" w:rsidRDefault="00CE213A" w:rsidP="00CE213A">
            <w:pPr>
              <w:rPr>
                <w:sz w:val="20"/>
                <w:szCs w:val="20"/>
              </w:rPr>
            </w:pPr>
          </w:p>
          <w:p w14:paraId="42FE618A" w14:textId="4BDE7A38" w:rsidR="00CE213A" w:rsidRPr="00EF4667" w:rsidRDefault="00CE213A" w:rsidP="003707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Przepisy dot. KPP zostały uwzględnione w </w:t>
            </w:r>
            <w:r w:rsidRPr="00915E1F">
              <w:rPr>
                <w:sz w:val="20"/>
                <w:szCs w:val="20"/>
              </w:rPr>
              <w:t>projek</w:t>
            </w:r>
            <w:r>
              <w:rPr>
                <w:sz w:val="20"/>
                <w:szCs w:val="20"/>
              </w:rPr>
              <w:t>cie</w:t>
            </w:r>
            <w:r w:rsidRPr="00915E1F">
              <w:rPr>
                <w:sz w:val="20"/>
                <w:szCs w:val="20"/>
              </w:rPr>
              <w:t xml:space="preserve"> ustawy o zmianie ustawy o usługach zaufania (projekt UC122)</w:t>
            </w:r>
            <w:r>
              <w:rPr>
                <w:sz w:val="20"/>
                <w:szCs w:val="20"/>
              </w:rPr>
              <w:t>.</w:t>
            </w:r>
          </w:p>
        </w:tc>
      </w:tr>
      <w:tr w:rsidR="00CE213A" w:rsidRPr="00EF4667" w14:paraId="1052F011" w14:textId="77777777" w:rsidTr="00DF109E">
        <w:trPr>
          <w:jc w:val="center"/>
        </w:trPr>
        <w:tc>
          <w:tcPr>
            <w:tcW w:w="704" w:type="dxa"/>
          </w:tcPr>
          <w:p w14:paraId="152D59CF" w14:textId="77777777" w:rsidR="00CE213A" w:rsidRPr="00EF4667" w:rsidRDefault="00CE213A" w:rsidP="00CE213A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7DB13D3" w14:textId="7CA5348D" w:rsidR="00CE213A" w:rsidRDefault="00CE213A" w:rsidP="00CE21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UODO</w:t>
            </w:r>
          </w:p>
        </w:tc>
        <w:tc>
          <w:tcPr>
            <w:tcW w:w="1417" w:type="dxa"/>
          </w:tcPr>
          <w:p w14:paraId="7A942CE9" w14:textId="34457986" w:rsidR="00CE213A" w:rsidRDefault="00CE213A" w:rsidP="00CE213A">
            <w:pPr>
              <w:rPr>
                <w:spacing w:val="6"/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Uwaga ogólna</w:t>
            </w:r>
          </w:p>
        </w:tc>
        <w:tc>
          <w:tcPr>
            <w:tcW w:w="5954" w:type="dxa"/>
          </w:tcPr>
          <w:p w14:paraId="218BEDBE" w14:textId="45DFEC99" w:rsidR="00CE213A" w:rsidRPr="00612B17" w:rsidRDefault="00CE213A" w:rsidP="00CE213A">
            <w:pPr>
              <w:rPr>
                <w:spacing w:val="6"/>
                <w:sz w:val="20"/>
                <w:szCs w:val="20"/>
              </w:rPr>
            </w:pPr>
            <w:r w:rsidRPr="00A7407B">
              <w:rPr>
                <w:spacing w:val="6"/>
                <w:sz w:val="20"/>
                <w:szCs w:val="20"/>
              </w:rPr>
              <w:t>Niezależnie od zaproponowanych przez projektodawcę zmian jako wniosek do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 xml:space="preserve">uwzględnienia w bieżącym procesie legislacyjnym bądź jako wniosek </w:t>
            </w:r>
            <w:r w:rsidRPr="00A7407B">
              <w:rPr>
                <w:b/>
                <w:bCs/>
                <w:spacing w:val="6"/>
                <w:sz w:val="20"/>
                <w:szCs w:val="20"/>
              </w:rPr>
              <w:t>de lege</w:t>
            </w:r>
            <w:r>
              <w:rPr>
                <w:b/>
                <w:bCs/>
                <w:spacing w:val="6"/>
                <w:sz w:val="20"/>
                <w:szCs w:val="20"/>
              </w:rPr>
              <w:t xml:space="preserve">  </w:t>
            </w:r>
            <w:proofErr w:type="spellStart"/>
            <w:r w:rsidRPr="00A7407B">
              <w:rPr>
                <w:b/>
                <w:bCs/>
                <w:spacing w:val="6"/>
                <w:sz w:val="20"/>
                <w:szCs w:val="20"/>
              </w:rPr>
              <w:t>ferenda</w:t>
            </w:r>
            <w:proofErr w:type="spellEnd"/>
            <w:r w:rsidRPr="00A7407B">
              <w:rPr>
                <w:b/>
                <w:bCs/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 xml:space="preserve">organ nadzorczy proponuje do rozważenia zmianę </w:t>
            </w:r>
            <w:r w:rsidRPr="00A7407B">
              <w:rPr>
                <w:b/>
                <w:bCs/>
                <w:spacing w:val="6"/>
                <w:sz w:val="20"/>
                <w:szCs w:val="20"/>
              </w:rPr>
              <w:t xml:space="preserve">art. 6 </w:t>
            </w:r>
            <w:r w:rsidRPr="00A7407B">
              <w:rPr>
                <w:spacing w:val="6"/>
                <w:sz w:val="20"/>
                <w:szCs w:val="20"/>
              </w:rPr>
              <w:t>ustawy o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doręczeniach elektronicznych poprzez dodanie kolejnego wyłączenia w zakresie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odnoszącym się do braku konieczności przesłania korespondencji w trybie PUH z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 xml:space="preserve">uwagi na ryzyko naruszenia </w:t>
            </w:r>
            <w:r w:rsidRPr="00A7407B">
              <w:rPr>
                <w:b/>
                <w:bCs/>
                <w:spacing w:val="6"/>
                <w:sz w:val="20"/>
                <w:szCs w:val="20"/>
              </w:rPr>
              <w:t>tajemnicy prawnie chronionej np. tajemnicy</w:t>
            </w:r>
            <w:r>
              <w:rPr>
                <w:b/>
                <w:bCs/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b/>
                <w:bCs/>
                <w:spacing w:val="6"/>
                <w:sz w:val="20"/>
                <w:szCs w:val="20"/>
              </w:rPr>
              <w:t>medycznej.</w:t>
            </w:r>
            <w:r>
              <w:rPr>
                <w:b/>
                <w:bCs/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Ustawodawca powinien rozważyć rozszerzenie katalogu spraw do których nie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stosuje się ustawy o e-doręczeniach o przypadki ryzyka naruszenia tajemnicy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prawnie chronionej (np. tajemnicy medycznej). Prezes UODO otrzymuje od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inspektorów ochrony danych (pełniących funkcję w placówkach medycznych)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sygnały w zakresie obawy naruszenia tajemnicy medycznej w przypadku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korzystania z publicznej usługi hybrydowej (PUH). Na te ryzyka organ nadzorczy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zwracał uwagę w wystąpieniu do Ministra Cyfryzacji (DOL.413.7.2024.WL),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wskazując, że „w związku ze świadczeniem usługi PUH, dla realizacji której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operator wyznaczony przekształca pismo podmiotu publicznego wytworzone w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formie dokumentu elektronicznego w formę papierową, zachodzi poważne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systemowe ryzyko zapoznania się z treścią pisma podmiotu publicznego przez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osoby nieuprawnione – zatrudnione lub świadczące usługi operatorowi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wyznaczonemu. Nie można także wykluczyć dalszych niezgodnych z prawem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działań, jak kopiowanie pisma, jego sfotografowanie, wytworzenia kopii cyfrowej,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 w:rsidRPr="00A7407B">
              <w:rPr>
                <w:spacing w:val="6"/>
                <w:sz w:val="20"/>
                <w:szCs w:val="20"/>
              </w:rPr>
              <w:t>przekazanie treści pisma dalszym osobom, czy wręcz upublicznienie jego treści i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danych osobowych. Ryzyka te są nieporównywalnie większe do obecnie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występujących, gdy pisma są kierowane przez podmioty publiczne do Poczty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Polskiej S.A. w zamkniętych kopertach, a często w dodatkowych zamkniętych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opakowaniach (np. workach). Konieczne jest zatem przyjęcie systemowych</w:t>
            </w:r>
            <w:r>
              <w:rPr>
                <w:spacing w:val="6"/>
                <w:sz w:val="20"/>
                <w:szCs w:val="20"/>
              </w:rPr>
              <w:t xml:space="preserve">  </w:t>
            </w:r>
            <w:r w:rsidRPr="00A7407B">
              <w:rPr>
                <w:spacing w:val="6"/>
                <w:sz w:val="20"/>
                <w:szCs w:val="20"/>
              </w:rPr>
              <w:t>rozwiązań w ustawie zabezpieczających dane osobowe.”</w:t>
            </w:r>
          </w:p>
        </w:tc>
        <w:tc>
          <w:tcPr>
            <w:tcW w:w="5245" w:type="dxa"/>
          </w:tcPr>
          <w:p w14:paraId="682ECE7D" w14:textId="77777777" w:rsidR="00CE213A" w:rsidRPr="00F22CFE" w:rsidRDefault="00CE213A" w:rsidP="00CE213A">
            <w:pPr>
              <w:rPr>
                <w:b/>
                <w:bCs/>
                <w:sz w:val="20"/>
                <w:szCs w:val="20"/>
              </w:rPr>
            </w:pPr>
            <w:r w:rsidRPr="00F22CFE">
              <w:rPr>
                <w:b/>
                <w:bCs/>
                <w:sz w:val="20"/>
                <w:szCs w:val="20"/>
              </w:rPr>
              <w:t>Uwaga nieuwzględniona</w:t>
            </w:r>
          </w:p>
          <w:p w14:paraId="34E78C60" w14:textId="77777777" w:rsidR="00CE213A" w:rsidRPr="00A62CB1" w:rsidRDefault="00CE213A" w:rsidP="00CE213A">
            <w:pPr>
              <w:rPr>
                <w:sz w:val="20"/>
                <w:szCs w:val="20"/>
              </w:rPr>
            </w:pPr>
          </w:p>
          <w:p w14:paraId="102C58AF" w14:textId="310394D4" w:rsidR="00CE213A" w:rsidRPr="00EF4667" w:rsidRDefault="00CE213A" w:rsidP="00CE213A">
            <w:pPr>
              <w:rPr>
                <w:sz w:val="20"/>
                <w:szCs w:val="20"/>
              </w:rPr>
            </w:pPr>
            <w:r w:rsidRPr="00A62CB1">
              <w:rPr>
                <w:sz w:val="20"/>
                <w:szCs w:val="20"/>
              </w:rPr>
              <w:t>Doręczenia elektroniczne zapewniają odpowiedni poziom bezpieczeństwa przekazywanej korespondencji.</w:t>
            </w:r>
          </w:p>
        </w:tc>
      </w:tr>
    </w:tbl>
    <w:p w14:paraId="4214148B" w14:textId="68359B1B" w:rsidR="00313026" w:rsidRPr="00EF4667" w:rsidRDefault="00313026" w:rsidP="00397129">
      <w:pPr>
        <w:spacing w:line="240" w:lineRule="auto"/>
        <w:rPr>
          <w:rFonts w:cstheme="minorHAnsi"/>
          <w:sz w:val="24"/>
          <w:szCs w:val="24"/>
        </w:rPr>
      </w:pPr>
    </w:p>
    <w:sectPr w:rsidR="00313026" w:rsidRPr="00EF4667" w:rsidSect="00B1735F">
      <w:pgSz w:w="16838" w:h="11906" w:orient="landscape"/>
      <w:pgMar w:top="851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71D56" w14:textId="77777777" w:rsidR="009019DF" w:rsidRDefault="009019DF" w:rsidP="00F45C59">
      <w:pPr>
        <w:spacing w:after="0" w:line="240" w:lineRule="auto"/>
      </w:pPr>
      <w:r>
        <w:separator/>
      </w:r>
    </w:p>
  </w:endnote>
  <w:endnote w:type="continuationSeparator" w:id="0">
    <w:p w14:paraId="710690CF" w14:textId="77777777" w:rsidR="009019DF" w:rsidRDefault="009019DF" w:rsidP="00F45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4BF6C" w14:textId="77777777" w:rsidR="009019DF" w:rsidRDefault="009019DF" w:rsidP="00F45C59">
      <w:pPr>
        <w:spacing w:after="0" w:line="240" w:lineRule="auto"/>
      </w:pPr>
      <w:r>
        <w:separator/>
      </w:r>
    </w:p>
  </w:footnote>
  <w:footnote w:type="continuationSeparator" w:id="0">
    <w:p w14:paraId="3D498842" w14:textId="77777777" w:rsidR="009019DF" w:rsidRDefault="009019DF" w:rsidP="00F45C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05501"/>
    <w:multiLevelType w:val="hybridMultilevel"/>
    <w:tmpl w:val="640E088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479EE"/>
    <w:multiLevelType w:val="hybridMultilevel"/>
    <w:tmpl w:val="12F0FB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0F1130"/>
    <w:multiLevelType w:val="hybridMultilevel"/>
    <w:tmpl w:val="640E0886"/>
    <w:lvl w:ilvl="0" w:tplc="734A54B2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70759"/>
    <w:multiLevelType w:val="hybridMultilevel"/>
    <w:tmpl w:val="1F86D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33DE3"/>
    <w:multiLevelType w:val="multilevel"/>
    <w:tmpl w:val="09905506"/>
    <w:lvl w:ilvl="0">
      <w:start w:val="1"/>
      <w:numFmt w:val="decimal"/>
      <w:lvlText w:val="%1)"/>
      <w:lvlJc w:val="left"/>
      <w:rPr>
        <w:rFonts w:asciiTheme="minorHAnsi" w:eastAsia="Times New Roman" w:hAnsiTheme="minorHAnsi" w:cstheme="minorHAnsi" w:hint="default"/>
        <w:b w:val="0"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0D51F64"/>
    <w:multiLevelType w:val="hybridMultilevel"/>
    <w:tmpl w:val="FD344F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287DA9"/>
    <w:multiLevelType w:val="hybridMultilevel"/>
    <w:tmpl w:val="000AF77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CCA43CA"/>
    <w:multiLevelType w:val="hybridMultilevel"/>
    <w:tmpl w:val="B7AAA774"/>
    <w:lvl w:ilvl="0" w:tplc="D4B22FBA">
      <w:start w:val="1"/>
      <w:numFmt w:val="bullet"/>
      <w:lvlText w:val="-"/>
      <w:lvlJc w:val="left"/>
      <w:pPr>
        <w:ind w:left="578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 w15:restartNumberingAfterBreak="0">
    <w:nsid w:val="50336B14"/>
    <w:multiLevelType w:val="hybridMultilevel"/>
    <w:tmpl w:val="347A9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1E4BDD"/>
    <w:multiLevelType w:val="hybridMultilevel"/>
    <w:tmpl w:val="CD3AD73A"/>
    <w:lvl w:ilvl="0" w:tplc="D2882BE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4D801B5"/>
    <w:multiLevelType w:val="hybridMultilevel"/>
    <w:tmpl w:val="640E088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3976DC"/>
    <w:multiLevelType w:val="hybridMultilevel"/>
    <w:tmpl w:val="4978D7A4"/>
    <w:lvl w:ilvl="0" w:tplc="22D0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AA440A"/>
    <w:multiLevelType w:val="hybridMultilevel"/>
    <w:tmpl w:val="E1700B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413775"/>
    <w:multiLevelType w:val="hybridMultilevel"/>
    <w:tmpl w:val="67FCC2A0"/>
    <w:lvl w:ilvl="0" w:tplc="64B4DC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3D71C7"/>
    <w:multiLevelType w:val="hybridMultilevel"/>
    <w:tmpl w:val="640E0886"/>
    <w:lvl w:ilvl="0" w:tplc="734A54B2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0966298">
    <w:abstractNumId w:val="3"/>
  </w:num>
  <w:num w:numId="2" w16cid:durableId="1086416786">
    <w:abstractNumId w:val="6"/>
  </w:num>
  <w:num w:numId="3" w16cid:durableId="1010373735">
    <w:abstractNumId w:val="4"/>
  </w:num>
  <w:num w:numId="4" w16cid:durableId="304044278">
    <w:abstractNumId w:val="8"/>
  </w:num>
  <w:num w:numId="5" w16cid:durableId="1885628863">
    <w:abstractNumId w:val="5"/>
  </w:num>
  <w:num w:numId="6" w16cid:durableId="1373114167">
    <w:abstractNumId w:val="11"/>
  </w:num>
  <w:num w:numId="7" w16cid:durableId="646013506">
    <w:abstractNumId w:val="13"/>
  </w:num>
  <w:num w:numId="8" w16cid:durableId="2007859063">
    <w:abstractNumId w:val="7"/>
  </w:num>
  <w:num w:numId="9" w16cid:durableId="7032091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297212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20453382">
    <w:abstractNumId w:val="14"/>
  </w:num>
  <w:num w:numId="12" w16cid:durableId="2114593447">
    <w:abstractNumId w:val="1"/>
  </w:num>
  <w:num w:numId="13" w16cid:durableId="1191264198">
    <w:abstractNumId w:val="0"/>
  </w:num>
  <w:num w:numId="14" w16cid:durableId="866333504">
    <w:abstractNumId w:val="10"/>
  </w:num>
  <w:num w:numId="15" w16cid:durableId="15908429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F97"/>
    <w:rsid w:val="000019E2"/>
    <w:rsid w:val="00021CB1"/>
    <w:rsid w:val="00024D95"/>
    <w:rsid w:val="000310DF"/>
    <w:rsid w:val="00036C91"/>
    <w:rsid w:val="00065C25"/>
    <w:rsid w:val="00075AE3"/>
    <w:rsid w:val="00084774"/>
    <w:rsid w:val="000B2C7D"/>
    <w:rsid w:val="000C16CF"/>
    <w:rsid w:val="000D01DA"/>
    <w:rsid w:val="000E069D"/>
    <w:rsid w:val="000E3DC4"/>
    <w:rsid w:val="000E63F6"/>
    <w:rsid w:val="000F228C"/>
    <w:rsid w:val="000F73FB"/>
    <w:rsid w:val="001036BB"/>
    <w:rsid w:val="0010608F"/>
    <w:rsid w:val="001124AE"/>
    <w:rsid w:val="00122233"/>
    <w:rsid w:val="00130B6D"/>
    <w:rsid w:val="00130B95"/>
    <w:rsid w:val="001430D4"/>
    <w:rsid w:val="001454BF"/>
    <w:rsid w:val="00156317"/>
    <w:rsid w:val="00156D61"/>
    <w:rsid w:val="001931EA"/>
    <w:rsid w:val="00193BC8"/>
    <w:rsid w:val="001A53F2"/>
    <w:rsid w:val="001A7E54"/>
    <w:rsid w:val="001B5FDA"/>
    <w:rsid w:val="001C2540"/>
    <w:rsid w:val="001D3E64"/>
    <w:rsid w:val="001E3A93"/>
    <w:rsid w:val="001F11D7"/>
    <w:rsid w:val="001F743B"/>
    <w:rsid w:val="0022152A"/>
    <w:rsid w:val="002247C9"/>
    <w:rsid w:val="002378A9"/>
    <w:rsid w:val="002450F5"/>
    <w:rsid w:val="002467A1"/>
    <w:rsid w:val="00246C6B"/>
    <w:rsid w:val="0026725E"/>
    <w:rsid w:val="00276D25"/>
    <w:rsid w:val="00277948"/>
    <w:rsid w:val="002977C9"/>
    <w:rsid w:val="002A5167"/>
    <w:rsid w:val="002A52C4"/>
    <w:rsid w:val="002A5E8B"/>
    <w:rsid w:val="002B0596"/>
    <w:rsid w:val="002C1BDC"/>
    <w:rsid w:val="002D5112"/>
    <w:rsid w:val="00310FA2"/>
    <w:rsid w:val="00312525"/>
    <w:rsid w:val="00313026"/>
    <w:rsid w:val="003158F1"/>
    <w:rsid w:val="00316163"/>
    <w:rsid w:val="00324815"/>
    <w:rsid w:val="00326197"/>
    <w:rsid w:val="00327FF3"/>
    <w:rsid w:val="00331E35"/>
    <w:rsid w:val="00332005"/>
    <w:rsid w:val="00336B17"/>
    <w:rsid w:val="00366038"/>
    <w:rsid w:val="00370754"/>
    <w:rsid w:val="00393F23"/>
    <w:rsid w:val="00395745"/>
    <w:rsid w:val="00397129"/>
    <w:rsid w:val="003B15BC"/>
    <w:rsid w:val="003B1D24"/>
    <w:rsid w:val="003B2560"/>
    <w:rsid w:val="003C11BC"/>
    <w:rsid w:val="003C17F3"/>
    <w:rsid w:val="003C496C"/>
    <w:rsid w:val="003D11A5"/>
    <w:rsid w:val="003D627C"/>
    <w:rsid w:val="003E4173"/>
    <w:rsid w:val="003E5D91"/>
    <w:rsid w:val="003E601F"/>
    <w:rsid w:val="003F747D"/>
    <w:rsid w:val="00404045"/>
    <w:rsid w:val="00412B8E"/>
    <w:rsid w:val="004315A3"/>
    <w:rsid w:val="00440A13"/>
    <w:rsid w:val="0045004E"/>
    <w:rsid w:val="00452BA3"/>
    <w:rsid w:val="004535DB"/>
    <w:rsid w:val="00453B24"/>
    <w:rsid w:val="00454990"/>
    <w:rsid w:val="004566EA"/>
    <w:rsid w:val="00461A76"/>
    <w:rsid w:val="0046212C"/>
    <w:rsid w:val="004865BC"/>
    <w:rsid w:val="00486FE0"/>
    <w:rsid w:val="00492DF2"/>
    <w:rsid w:val="004B599F"/>
    <w:rsid w:val="004C23DA"/>
    <w:rsid w:val="004C28F9"/>
    <w:rsid w:val="004D3872"/>
    <w:rsid w:val="004D3A23"/>
    <w:rsid w:val="004D3AE4"/>
    <w:rsid w:val="004E2A7C"/>
    <w:rsid w:val="005029B2"/>
    <w:rsid w:val="00503D74"/>
    <w:rsid w:val="00504E16"/>
    <w:rsid w:val="00506A0F"/>
    <w:rsid w:val="005149C5"/>
    <w:rsid w:val="00540022"/>
    <w:rsid w:val="0054118F"/>
    <w:rsid w:val="005504D6"/>
    <w:rsid w:val="00553113"/>
    <w:rsid w:val="00553B12"/>
    <w:rsid w:val="00555683"/>
    <w:rsid w:val="00581A83"/>
    <w:rsid w:val="00587B74"/>
    <w:rsid w:val="005A2BAB"/>
    <w:rsid w:val="005B7A98"/>
    <w:rsid w:val="005D0F97"/>
    <w:rsid w:val="005E3D84"/>
    <w:rsid w:val="005F43E1"/>
    <w:rsid w:val="005F5656"/>
    <w:rsid w:val="0060451D"/>
    <w:rsid w:val="006117B2"/>
    <w:rsid w:val="00612B17"/>
    <w:rsid w:val="00617899"/>
    <w:rsid w:val="00625776"/>
    <w:rsid w:val="006466AE"/>
    <w:rsid w:val="00652417"/>
    <w:rsid w:val="006565AC"/>
    <w:rsid w:val="00657681"/>
    <w:rsid w:val="00684512"/>
    <w:rsid w:val="00692AEA"/>
    <w:rsid w:val="006943E7"/>
    <w:rsid w:val="00697A3F"/>
    <w:rsid w:val="006B3CB4"/>
    <w:rsid w:val="006B6293"/>
    <w:rsid w:val="006C7A10"/>
    <w:rsid w:val="006D0174"/>
    <w:rsid w:val="006D6331"/>
    <w:rsid w:val="00713AE0"/>
    <w:rsid w:val="007215E0"/>
    <w:rsid w:val="0073480C"/>
    <w:rsid w:val="00761CAD"/>
    <w:rsid w:val="00783A2E"/>
    <w:rsid w:val="00784F00"/>
    <w:rsid w:val="00795D29"/>
    <w:rsid w:val="007B1C07"/>
    <w:rsid w:val="007D0337"/>
    <w:rsid w:val="007E30E3"/>
    <w:rsid w:val="007E481A"/>
    <w:rsid w:val="007F6E41"/>
    <w:rsid w:val="00800B88"/>
    <w:rsid w:val="00810456"/>
    <w:rsid w:val="00820AF5"/>
    <w:rsid w:val="008232EC"/>
    <w:rsid w:val="0082747C"/>
    <w:rsid w:val="0083268C"/>
    <w:rsid w:val="00845E2C"/>
    <w:rsid w:val="00861FC1"/>
    <w:rsid w:val="00867E6E"/>
    <w:rsid w:val="008727BB"/>
    <w:rsid w:val="0087349A"/>
    <w:rsid w:val="00876FD3"/>
    <w:rsid w:val="0088090F"/>
    <w:rsid w:val="00885D3C"/>
    <w:rsid w:val="008A015C"/>
    <w:rsid w:val="008A48BE"/>
    <w:rsid w:val="008D0663"/>
    <w:rsid w:val="008E126A"/>
    <w:rsid w:val="008E5A98"/>
    <w:rsid w:val="008E76D4"/>
    <w:rsid w:val="008F0929"/>
    <w:rsid w:val="009019DF"/>
    <w:rsid w:val="0090242E"/>
    <w:rsid w:val="00903AF0"/>
    <w:rsid w:val="00915819"/>
    <w:rsid w:val="009432CB"/>
    <w:rsid w:val="00961603"/>
    <w:rsid w:val="009854F8"/>
    <w:rsid w:val="009A07D7"/>
    <w:rsid w:val="009A556E"/>
    <w:rsid w:val="009C3F7D"/>
    <w:rsid w:val="009C5E7E"/>
    <w:rsid w:val="009D4977"/>
    <w:rsid w:val="009E7B7B"/>
    <w:rsid w:val="00A07B6B"/>
    <w:rsid w:val="00A10DE5"/>
    <w:rsid w:val="00A11D34"/>
    <w:rsid w:val="00A25165"/>
    <w:rsid w:val="00A47613"/>
    <w:rsid w:val="00A51CB9"/>
    <w:rsid w:val="00A62CB1"/>
    <w:rsid w:val="00A655A9"/>
    <w:rsid w:val="00A7407B"/>
    <w:rsid w:val="00A81F33"/>
    <w:rsid w:val="00A857C3"/>
    <w:rsid w:val="00A85FB0"/>
    <w:rsid w:val="00A90226"/>
    <w:rsid w:val="00A941EC"/>
    <w:rsid w:val="00AD2B68"/>
    <w:rsid w:val="00AD3F0D"/>
    <w:rsid w:val="00AE15F8"/>
    <w:rsid w:val="00B033FD"/>
    <w:rsid w:val="00B1395A"/>
    <w:rsid w:val="00B1731A"/>
    <w:rsid w:val="00B1735F"/>
    <w:rsid w:val="00B20579"/>
    <w:rsid w:val="00B371FF"/>
    <w:rsid w:val="00B55173"/>
    <w:rsid w:val="00B67AFE"/>
    <w:rsid w:val="00B705F5"/>
    <w:rsid w:val="00B74144"/>
    <w:rsid w:val="00B7452C"/>
    <w:rsid w:val="00B933A3"/>
    <w:rsid w:val="00B96FC5"/>
    <w:rsid w:val="00BA7087"/>
    <w:rsid w:val="00BB6A0F"/>
    <w:rsid w:val="00BD66EA"/>
    <w:rsid w:val="00BE2DCA"/>
    <w:rsid w:val="00C022DB"/>
    <w:rsid w:val="00C074CB"/>
    <w:rsid w:val="00C21C84"/>
    <w:rsid w:val="00C224B3"/>
    <w:rsid w:val="00C237CE"/>
    <w:rsid w:val="00C72A60"/>
    <w:rsid w:val="00CC03C7"/>
    <w:rsid w:val="00CC765E"/>
    <w:rsid w:val="00CD3261"/>
    <w:rsid w:val="00CE213A"/>
    <w:rsid w:val="00CE7B3B"/>
    <w:rsid w:val="00CF1385"/>
    <w:rsid w:val="00D02248"/>
    <w:rsid w:val="00D039E8"/>
    <w:rsid w:val="00D03A9F"/>
    <w:rsid w:val="00D13F1C"/>
    <w:rsid w:val="00D16BAE"/>
    <w:rsid w:val="00D5337F"/>
    <w:rsid w:val="00D535B6"/>
    <w:rsid w:val="00D60A09"/>
    <w:rsid w:val="00D6482E"/>
    <w:rsid w:val="00D708CD"/>
    <w:rsid w:val="00D87532"/>
    <w:rsid w:val="00DA1A2F"/>
    <w:rsid w:val="00DB1266"/>
    <w:rsid w:val="00DB207B"/>
    <w:rsid w:val="00DB2DCC"/>
    <w:rsid w:val="00DC20B5"/>
    <w:rsid w:val="00DE6152"/>
    <w:rsid w:val="00DF048A"/>
    <w:rsid w:val="00DF109E"/>
    <w:rsid w:val="00E10C08"/>
    <w:rsid w:val="00E22CC6"/>
    <w:rsid w:val="00E23743"/>
    <w:rsid w:val="00E35161"/>
    <w:rsid w:val="00E52309"/>
    <w:rsid w:val="00E5259C"/>
    <w:rsid w:val="00E54342"/>
    <w:rsid w:val="00E64EDC"/>
    <w:rsid w:val="00E76736"/>
    <w:rsid w:val="00E878D2"/>
    <w:rsid w:val="00E92298"/>
    <w:rsid w:val="00E95E50"/>
    <w:rsid w:val="00EB1719"/>
    <w:rsid w:val="00EC0027"/>
    <w:rsid w:val="00EC1EA4"/>
    <w:rsid w:val="00EC2748"/>
    <w:rsid w:val="00ED4504"/>
    <w:rsid w:val="00ED6A4D"/>
    <w:rsid w:val="00EE2B80"/>
    <w:rsid w:val="00EF4667"/>
    <w:rsid w:val="00F10F58"/>
    <w:rsid w:val="00F110AD"/>
    <w:rsid w:val="00F22090"/>
    <w:rsid w:val="00F22CFE"/>
    <w:rsid w:val="00F354E6"/>
    <w:rsid w:val="00F45620"/>
    <w:rsid w:val="00F45C59"/>
    <w:rsid w:val="00F61753"/>
    <w:rsid w:val="00F62F50"/>
    <w:rsid w:val="00F67B5F"/>
    <w:rsid w:val="00F7166F"/>
    <w:rsid w:val="00F83DBE"/>
    <w:rsid w:val="00F84D9C"/>
    <w:rsid w:val="00F90377"/>
    <w:rsid w:val="00F93036"/>
    <w:rsid w:val="00F94ABA"/>
    <w:rsid w:val="00F95998"/>
    <w:rsid w:val="00FA5EE9"/>
    <w:rsid w:val="00FB116A"/>
    <w:rsid w:val="00FC23B5"/>
    <w:rsid w:val="00FC47CD"/>
    <w:rsid w:val="00FC75D5"/>
    <w:rsid w:val="00FD6238"/>
    <w:rsid w:val="02122C2A"/>
    <w:rsid w:val="0314DCD4"/>
    <w:rsid w:val="03C2A73E"/>
    <w:rsid w:val="03D6CC7F"/>
    <w:rsid w:val="0596C126"/>
    <w:rsid w:val="07FADFD2"/>
    <w:rsid w:val="0C0602AA"/>
    <w:rsid w:val="0D672687"/>
    <w:rsid w:val="0D699188"/>
    <w:rsid w:val="10F204B2"/>
    <w:rsid w:val="192CF488"/>
    <w:rsid w:val="19A22FA8"/>
    <w:rsid w:val="1AF11051"/>
    <w:rsid w:val="25A54DD1"/>
    <w:rsid w:val="2A277BE4"/>
    <w:rsid w:val="2A2944F1"/>
    <w:rsid w:val="2B585370"/>
    <w:rsid w:val="2C152135"/>
    <w:rsid w:val="2C95C26A"/>
    <w:rsid w:val="2E0A423C"/>
    <w:rsid w:val="35D5A0AF"/>
    <w:rsid w:val="38925ADE"/>
    <w:rsid w:val="390D4171"/>
    <w:rsid w:val="3A6DCDD6"/>
    <w:rsid w:val="3A9E9496"/>
    <w:rsid w:val="3C00F60B"/>
    <w:rsid w:val="3C099E37"/>
    <w:rsid w:val="3C4049CE"/>
    <w:rsid w:val="3DA56E98"/>
    <w:rsid w:val="40B8A073"/>
    <w:rsid w:val="48E24814"/>
    <w:rsid w:val="493B3950"/>
    <w:rsid w:val="49484361"/>
    <w:rsid w:val="49D3DD5C"/>
    <w:rsid w:val="4D35A093"/>
    <w:rsid w:val="52C7B7CB"/>
    <w:rsid w:val="52E6725A"/>
    <w:rsid w:val="563F574E"/>
    <w:rsid w:val="57E17857"/>
    <w:rsid w:val="58E1C3A8"/>
    <w:rsid w:val="59453ECE"/>
    <w:rsid w:val="5970206F"/>
    <w:rsid w:val="59B81187"/>
    <w:rsid w:val="5AE10F2F"/>
    <w:rsid w:val="5C7CDF90"/>
    <w:rsid w:val="5D496778"/>
    <w:rsid w:val="5DDE036D"/>
    <w:rsid w:val="5F630951"/>
    <w:rsid w:val="647D82C9"/>
    <w:rsid w:val="67FA0CE5"/>
    <w:rsid w:val="69D7845D"/>
    <w:rsid w:val="6A27B7AF"/>
    <w:rsid w:val="6A816AC3"/>
    <w:rsid w:val="6AFF207F"/>
    <w:rsid w:val="6C08A858"/>
    <w:rsid w:val="6D9F5732"/>
    <w:rsid w:val="7041C38C"/>
    <w:rsid w:val="70884E12"/>
    <w:rsid w:val="78B378C0"/>
    <w:rsid w:val="7A4382E9"/>
    <w:rsid w:val="7CB31911"/>
    <w:rsid w:val="7FDCF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F5C8B3"/>
  <w15:chartTrackingRefBased/>
  <w15:docId w15:val="{06264CBB-9605-4CF3-8ECC-E39C6755E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337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53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USTzmustartykuempunktem">
    <w:name w:val="Z/UST(§) – zm. ust. (§) artykułem (punktem)"/>
    <w:basedOn w:val="Normalny"/>
    <w:uiPriority w:val="30"/>
    <w:qFormat/>
    <w:rsid w:val="0088090F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117B2"/>
    <w:pPr>
      <w:spacing w:after="0" w:line="240" w:lineRule="auto"/>
      <w:ind w:left="720"/>
    </w:pPr>
    <w:rPr>
      <w:rFonts w:ascii="Calibri" w:hAnsi="Calibri" w:cs="Calibri"/>
    </w:rPr>
  </w:style>
  <w:style w:type="paragraph" w:styleId="Tekstpodstawowy2">
    <w:name w:val="Body Text 2"/>
    <w:basedOn w:val="Normalny"/>
    <w:link w:val="Tekstpodstawowy2Znak"/>
    <w:semiHidden/>
    <w:rsid w:val="008A48BE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A48BE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10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10A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73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173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173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5E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5E8B"/>
    <w:rPr>
      <w:b/>
      <w:bCs/>
      <w:sz w:val="20"/>
      <w:szCs w:val="20"/>
    </w:rPr>
  </w:style>
  <w:style w:type="paragraph" w:customStyle="1" w:styleId="doc-ti">
    <w:name w:val="doc-ti"/>
    <w:basedOn w:val="Normalny"/>
    <w:rsid w:val="00F45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5C59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3B2560"/>
    <w:rPr>
      <w:rFonts w:ascii="Times New Roman" w:hAnsi="Times New Roman" w:cs="Times New Roman"/>
      <w:sz w:val="24"/>
      <w:szCs w:val="24"/>
    </w:rPr>
  </w:style>
  <w:style w:type="paragraph" w:customStyle="1" w:styleId="ZLITUSTzmustliter">
    <w:name w:val="Z_LIT/UST(§) – zm. ust. (§) literą"/>
    <w:basedOn w:val="Normalny"/>
    <w:uiPriority w:val="46"/>
    <w:qFormat/>
    <w:rsid w:val="00BA7087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45004E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LITlitera">
    <w:name w:val="LIT – litera"/>
    <w:basedOn w:val="PKTpunkt"/>
    <w:uiPriority w:val="14"/>
    <w:qFormat/>
    <w:rsid w:val="0045004E"/>
    <w:pPr>
      <w:ind w:left="986" w:hanging="476"/>
    </w:pPr>
  </w:style>
  <w:style w:type="character" w:customStyle="1" w:styleId="Ppogrubienie">
    <w:name w:val="_P_ – pogrubienie"/>
    <w:basedOn w:val="Domylnaczcionkaakapitu"/>
    <w:uiPriority w:val="1"/>
    <w:qFormat/>
    <w:rsid w:val="004B599F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E0F7D76D2AAF49A16A5FAB5B2FEA62" ma:contentTypeVersion="4" ma:contentTypeDescription="Utwórz nowy dokument." ma:contentTypeScope="" ma:versionID="2f81b85ba0382f8c775985157b52d4bf">
  <xsd:schema xmlns:xsd="http://www.w3.org/2001/XMLSchema" xmlns:xs="http://www.w3.org/2001/XMLSchema" xmlns:p="http://schemas.microsoft.com/office/2006/metadata/properties" xmlns:ns2="4a8685ed-54a0-4e99-b38d-30033c70d9c6" targetNamespace="http://schemas.microsoft.com/office/2006/metadata/properties" ma:root="true" ma:fieldsID="392a7a38f479a5a862391f2e40487b42" ns2:_="">
    <xsd:import namespace="4a8685ed-54a0-4e99-b38d-30033c70d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8685ed-54a0-4e99-b38d-30033c70d9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53A6D8-8FBA-499C-822D-CDD4ADE30A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8685ed-54a0-4e99-b38d-30033c70d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8E2F96-B0CD-4ABE-94A5-9F0B394B0E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09B76A-9F0E-4327-B89B-2D1FA04DBD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EDA0E7-65DD-42E1-A819-C0A4C44BE2B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f750d7c-1236-406a-b99f-01e1ffdc770f}" enabled="1" method="Privileged" siteId="{6b5e84bc-ccb4-4457-85a0-05c2a812f6c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6909</Words>
  <Characters>41459</Characters>
  <Application>Microsoft Office Word</Application>
  <DocSecurity>0</DocSecurity>
  <Lines>345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Cyfryzacji</Company>
  <LinksUpToDate>false</LinksUpToDate>
  <CharactersWithSpaces>48272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Skwarek Wiktor</dc:creator>
  <cp:keywords/>
  <dc:description/>
  <cp:lastModifiedBy>Witkowska-Krzymowska Magdalena</cp:lastModifiedBy>
  <cp:revision>7</cp:revision>
  <dcterms:created xsi:type="dcterms:W3CDTF">2026-05-07T08:49:00Z</dcterms:created>
  <dcterms:modified xsi:type="dcterms:W3CDTF">2026-06-26T11:22:00Z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875bd0a9bd87f448d86d39a121d18c795513692c15c58252036aab3d4ec11c18</vt:lpwstr>
  </property>
  <property fmtid="{D5CDD505-2E9C-101B-9397-08002B2CF9AE}" pid="3" name="ContentTypeId">
    <vt:lpwstr>0x0101005DE0F7D76D2AAF49A16A5FAB5B2FEA62</vt:lpwstr>
  </property>
</Properties>
</file>